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17" w:rsidRPr="00DF2396" w:rsidRDefault="00A01817" w:rsidP="00DF2396">
      <w:pPr>
        <w:spacing w:after="0" w:line="240" w:lineRule="auto"/>
        <w:jc w:val="center"/>
        <w:rPr>
          <w:rFonts w:asciiTheme="majorBidi" w:hAnsiTheme="majorBidi" w:cstheme="majorBidi"/>
          <w:b/>
          <w:bCs/>
          <w:sz w:val="24"/>
          <w:szCs w:val="24"/>
        </w:rPr>
      </w:pPr>
    </w:p>
    <w:p w:rsidR="00F82BA5" w:rsidRPr="00DF2396" w:rsidRDefault="000C71EE" w:rsidP="00DF2396">
      <w:pPr>
        <w:spacing w:after="0" w:line="240" w:lineRule="auto"/>
        <w:jc w:val="center"/>
        <w:rPr>
          <w:rFonts w:asciiTheme="majorBidi" w:hAnsiTheme="majorBidi" w:cstheme="majorBidi"/>
          <w:b/>
          <w:bCs/>
          <w:sz w:val="24"/>
          <w:szCs w:val="24"/>
        </w:rPr>
      </w:pPr>
      <w:r w:rsidRPr="00DF2396">
        <w:rPr>
          <w:rFonts w:asciiTheme="majorBidi" w:hAnsiTheme="majorBidi" w:cstheme="majorBidi"/>
          <w:b/>
          <w:bCs/>
          <w:sz w:val="24"/>
          <w:szCs w:val="24"/>
        </w:rPr>
        <w:t>Обов’язок розслідувати порушення</w:t>
      </w:r>
      <w:r w:rsidR="00A01817" w:rsidRPr="00DF2396">
        <w:rPr>
          <w:rFonts w:asciiTheme="majorBidi" w:hAnsiTheme="majorBidi" w:cstheme="majorBidi"/>
          <w:b/>
          <w:bCs/>
          <w:sz w:val="24"/>
          <w:szCs w:val="24"/>
        </w:rPr>
        <w:t xml:space="preserve"> прав людини, вчинен</w:t>
      </w:r>
      <w:r w:rsidRPr="00DF2396">
        <w:rPr>
          <w:rFonts w:asciiTheme="majorBidi" w:hAnsiTheme="majorBidi" w:cstheme="majorBidi"/>
          <w:b/>
          <w:bCs/>
          <w:sz w:val="24"/>
          <w:szCs w:val="24"/>
        </w:rPr>
        <w:t>і</w:t>
      </w:r>
      <w:r w:rsidR="00A01817" w:rsidRPr="00DF2396">
        <w:rPr>
          <w:rFonts w:asciiTheme="majorBidi" w:hAnsiTheme="majorBidi" w:cstheme="majorBidi"/>
          <w:b/>
          <w:bCs/>
          <w:sz w:val="24"/>
          <w:szCs w:val="24"/>
        </w:rPr>
        <w:t xml:space="preserve"> у контексті </w:t>
      </w:r>
      <w:r w:rsidR="00E65196" w:rsidRPr="00DF2396">
        <w:rPr>
          <w:rFonts w:asciiTheme="majorBidi" w:hAnsiTheme="majorBidi" w:cstheme="majorBidi"/>
          <w:b/>
          <w:bCs/>
          <w:sz w:val="24"/>
          <w:szCs w:val="24"/>
        </w:rPr>
        <w:t>збройного конфлікту</w:t>
      </w:r>
      <w:r w:rsidR="00A01817" w:rsidRPr="00DF2396">
        <w:rPr>
          <w:rFonts w:asciiTheme="majorBidi" w:hAnsiTheme="majorBidi" w:cstheme="majorBidi"/>
          <w:b/>
          <w:bCs/>
          <w:sz w:val="24"/>
          <w:szCs w:val="24"/>
        </w:rPr>
        <w:t>: практика Європейського суду з прав людини</w:t>
      </w:r>
    </w:p>
    <w:p w:rsidR="00A01817" w:rsidRPr="00DF2396" w:rsidRDefault="00A01817" w:rsidP="00DF2396">
      <w:pPr>
        <w:spacing w:line="240" w:lineRule="auto"/>
        <w:rPr>
          <w:rFonts w:asciiTheme="majorBidi" w:hAnsiTheme="majorBidi" w:cstheme="majorBidi"/>
          <w:sz w:val="24"/>
          <w:szCs w:val="24"/>
        </w:rPr>
      </w:pPr>
    </w:p>
    <w:p w:rsidR="001C1CFB" w:rsidRPr="00DF2396" w:rsidRDefault="001C1CFB" w:rsidP="00FB405C">
      <w:pPr>
        <w:spacing w:after="0" w:line="240" w:lineRule="auto"/>
        <w:jc w:val="center"/>
        <w:outlineLvl w:val="0"/>
        <w:rPr>
          <w:rFonts w:asciiTheme="majorBidi" w:hAnsiTheme="majorBidi" w:cstheme="majorBidi"/>
          <w:b/>
          <w:bCs/>
          <w:sz w:val="24"/>
          <w:szCs w:val="24"/>
        </w:rPr>
      </w:pPr>
      <w:r w:rsidRPr="00DF2396">
        <w:rPr>
          <w:rFonts w:asciiTheme="majorBidi" w:hAnsiTheme="majorBidi" w:cstheme="majorBidi"/>
          <w:b/>
          <w:bCs/>
          <w:sz w:val="24"/>
          <w:szCs w:val="24"/>
        </w:rPr>
        <w:t>Стешенко Олександра Сергіївна</w:t>
      </w:r>
    </w:p>
    <w:p w:rsidR="001C1CFB" w:rsidRPr="00FB405C" w:rsidRDefault="001C1CFB" w:rsidP="00FB405C">
      <w:pPr>
        <w:spacing w:after="0" w:line="240" w:lineRule="auto"/>
        <w:jc w:val="center"/>
        <w:rPr>
          <w:rFonts w:asciiTheme="majorBidi" w:hAnsiTheme="majorBidi" w:cstheme="majorBidi"/>
          <w:sz w:val="24"/>
          <w:szCs w:val="24"/>
        </w:rPr>
      </w:pPr>
      <w:r w:rsidRPr="00DF2396">
        <w:rPr>
          <w:rFonts w:asciiTheme="majorBidi" w:hAnsiTheme="majorBidi" w:cstheme="majorBidi"/>
          <w:sz w:val="24"/>
          <w:szCs w:val="24"/>
        </w:rPr>
        <w:t>доктор філософії</w:t>
      </w:r>
      <w:r w:rsidR="00FB405C">
        <w:rPr>
          <w:rFonts w:asciiTheme="majorBidi" w:hAnsiTheme="majorBidi" w:cstheme="majorBidi"/>
          <w:sz w:val="24"/>
          <w:szCs w:val="24"/>
        </w:rPr>
        <w:t xml:space="preserve"> </w:t>
      </w:r>
    </w:p>
    <w:p w:rsidR="00FB405C" w:rsidRDefault="00A04DA9" w:rsidP="00FB405C">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Київський національний університет і мені Тараса Шевченка, </w:t>
      </w:r>
    </w:p>
    <w:p w:rsidR="00A04DA9" w:rsidRPr="00A04DA9" w:rsidRDefault="00A04DA9" w:rsidP="00FB405C">
      <w:pPr>
        <w:spacing w:after="0" w:line="240" w:lineRule="auto"/>
        <w:jc w:val="center"/>
        <w:rPr>
          <w:rFonts w:asciiTheme="majorBidi" w:hAnsiTheme="majorBidi" w:cstheme="majorBidi"/>
          <w:sz w:val="24"/>
          <w:szCs w:val="24"/>
        </w:rPr>
      </w:pPr>
      <w:r>
        <w:rPr>
          <w:rFonts w:asciiTheme="majorBidi" w:hAnsiTheme="majorBidi" w:cstheme="majorBidi"/>
          <w:sz w:val="24"/>
          <w:szCs w:val="24"/>
        </w:rPr>
        <w:t>Страсбурзький університет</w:t>
      </w:r>
    </w:p>
    <w:p w:rsidR="00FB405C" w:rsidRDefault="00FB405C" w:rsidP="00FB405C">
      <w:pPr>
        <w:spacing w:after="0" w:line="240" w:lineRule="auto"/>
        <w:ind w:firstLine="567"/>
        <w:jc w:val="both"/>
        <w:rPr>
          <w:rFonts w:asciiTheme="majorBidi" w:hAnsiTheme="majorBidi" w:cstheme="majorBidi"/>
          <w:b/>
          <w:bCs/>
          <w:sz w:val="24"/>
          <w:szCs w:val="24"/>
        </w:rPr>
      </w:pPr>
    </w:p>
    <w:p w:rsidR="00DF2396" w:rsidRDefault="00DF2396" w:rsidP="00FB405C">
      <w:pPr>
        <w:spacing w:after="0" w:line="240" w:lineRule="auto"/>
        <w:ind w:firstLine="567"/>
        <w:jc w:val="both"/>
        <w:rPr>
          <w:rFonts w:asciiTheme="majorBidi" w:hAnsiTheme="majorBidi" w:cstheme="majorBidi"/>
          <w:b/>
          <w:bCs/>
          <w:sz w:val="24"/>
          <w:szCs w:val="24"/>
        </w:rPr>
      </w:pPr>
      <w:r>
        <w:rPr>
          <w:rFonts w:asciiTheme="majorBidi" w:hAnsiTheme="majorBidi" w:cstheme="majorBidi"/>
          <w:b/>
          <w:bCs/>
          <w:sz w:val="24"/>
          <w:szCs w:val="24"/>
        </w:rPr>
        <w:t>Анотація</w:t>
      </w:r>
    </w:p>
    <w:p w:rsidR="00E47CC7" w:rsidRDefault="00E47CC7" w:rsidP="00E47CC7">
      <w:pPr>
        <w:spacing w:after="0" w:line="240" w:lineRule="auto"/>
        <w:ind w:firstLine="567"/>
        <w:jc w:val="both"/>
        <w:rPr>
          <w:rFonts w:asciiTheme="majorBidi" w:hAnsiTheme="majorBidi" w:cstheme="majorBidi"/>
          <w:sz w:val="24"/>
          <w:szCs w:val="24"/>
        </w:rPr>
      </w:pPr>
      <w:r w:rsidRPr="00E47CC7">
        <w:rPr>
          <w:rFonts w:asciiTheme="majorBidi" w:hAnsiTheme="majorBidi" w:cstheme="majorBidi"/>
          <w:sz w:val="24"/>
          <w:szCs w:val="24"/>
        </w:rPr>
        <w:t>У статті розглядаються особливості процесуальних зобов’язань Держав-Учасниць Європейської конвенції з прав людини</w:t>
      </w:r>
      <w:r>
        <w:rPr>
          <w:rFonts w:asciiTheme="majorBidi" w:hAnsiTheme="majorBidi" w:cstheme="majorBidi"/>
          <w:sz w:val="24"/>
          <w:szCs w:val="24"/>
        </w:rPr>
        <w:t xml:space="preserve"> (надалі також «Конвенції»)</w:t>
      </w:r>
      <w:r w:rsidRPr="00E47CC7">
        <w:rPr>
          <w:rFonts w:asciiTheme="majorBidi" w:hAnsiTheme="majorBidi" w:cstheme="majorBidi"/>
          <w:sz w:val="24"/>
          <w:szCs w:val="24"/>
        </w:rPr>
        <w:t xml:space="preserve"> </w:t>
      </w:r>
      <w:r>
        <w:rPr>
          <w:rFonts w:asciiTheme="majorBidi" w:hAnsiTheme="majorBidi" w:cstheme="majorBidi"/>
          <w:sz w:val="24"/>
          <w:szCs w:val="24"/>
        </w:rPr>
        <w:t xml:space="preserve">щодо проведення розслідувань порушень Європейської конвенції з прав людини, вчинених у контексті збройного конфлікту. Розкрито питання </w:t>
      </w:r>
      <w:r w:rsidRPr="00DF2396">
        <w:rPr>
          <w:rFonts w:asciiTheme="majorBidi" w:hAnsiTheme="majorBidi" w:cstheme="majorBidi"/>
          <w:sz w:val="24"/>
          <w:szCs w:val="24"/>
        </w:rPr>
        <w:t>юрисдикційного зв’язку між обов’язком розслідувати та Державою-Учасницею Конвенції</w:t>
      </w:r>
      <w:r>
        <w:rPr>
          <w:rFonts w:asciiTheme="majorBidi" w:hAnsiTheme="majorBidi" w:cstheme="majorBidi"/>
          <w:sz w:val="24"/>
          <w:szCs w:val="24"/>
        </w:rPr>
        <w:t xml:space="preserve">, </w:t>
      </w:r>
      <w:r w:rsidRPr="00DF2396">
        <w:rPr>
          <w:rFonts w:asciiTheme="majorBidi" w:hAnsiTheme="majorBidi" w:cstheme="majorBidi"/>
          <w:sz w:val="24"/>
          <w:szCs w:val="24"/>
        </w:rPr>
        <w:t>спектру порушень, що мають бути розслідувані, виникнення обов’язку розслідувати порушення, а також змісту процесуальних зобов’язань у контексті збройного конфлікту.</w:t>
      </w:r>
    </w:p>
    <w:p w:rsidR="00E47CC7" w:rsidRDefault="00E47CC7" w:rsidP="0046737A">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Юрисдикція Високих Договірних Сторін Європейської конвенції з прав людини для цілей статті 1 Конвенції є передусім територіальною</w:t>
      </w:r>
      <w:r w:rsidR="0046737A" w:rsidRPr="0046737A">
        <w:rPr>
          <w:rFonts w:asciiTheme="majorBidi" w:hAnsiTheme="majorBidi" w:cstheme="majorBidi"/>
          <w:sz w:val="24"/>
          <w:szCs w:val="24"/>
          <w:lang w:val="ru-RU"/>
        </w:rPr>
        <w:t>;</w:t>
      </w:r>
      <w:r>
        <w:rPr>
          <w:rFonts w:asciiTheme="majorBidi" w:hAnsiTheme="majorBidi" w:cstheme="majorBidi"/>
          <w:sz w:val="24"/>
          <w:szCs w:val="24"/>
        </w:rPr>
        <w:t xml:space="preserve"> однак Європейським судом з прав людини встановлено ряд виключень з цього загального принципу. Зокрема, у випадку окупації частини територій іншою державою Держава-Учасниця хоча і зберігає юрисдикцію щодо</w:t>
      </w:r>
      <w:r w:rsidR="00A5118F">
        <w:rPr>
          <w:rFonts w:asciiTheme="majorBidi" w:hAnsiTheme="majorBidi" w:cstheme="majorBidi"/>
          <w:sz w:val="24"/>
          <w:szCs w:val="24"/>
        </w:rPr>
        <w:t xml:space="preserve"> тимчасово</w:t>
      </w:r>
      <w:r>
        <w:rPr>
          <w:rFonts w:asciiTheme="majorBidi" w:hAnsiTheme="majorBidi" w:cstheme="majorBidi"/>
          <w:sz w:val="24"/>
          <w:szCs w:val="24"/>
        </w:rPr>
        <w:t xml:space="preserve"> окупованих територій, але в обмеженому вигляді. </w:t>
      </w:r>
      <w:r w:rsidR="00A5118F">
        <w:rPr>
          <w:rFonts w:asciiTheme="majorBidi" w:hAnsiTheme="majorBidi" w:cstheme="majorBidi"/>
          <w:sz w:val="24"/>
          <w:szCs w:val="24"/>
        </w:rPr>
        <w:t>У випадку вчинення порушення за межами території Держави-Учасниці юрисдикційний</w:t>
      </w:r>
      <w:r w:rsidR="00FB7FC4" w:rsidRPr="00FB7FC4">
        <w:rPr>
          <w:rFonts w:asciiTheme="majorBidi" w:hAnsiTheme="majorBidi" w:cstheme="majorBidi"/>
          <w:sz w:val="24"/>
          <w:szCs w:val="24"/>
        </w:rPr>
        <w:t xml:space="preserve"> </w:t>
      </w:r>
      <w:r w:rsidR="00FB7FC4">
        <w:rPr>
          <w:rFonts w:asciiTheme="majorBidi" w:hAnsiTheme="majorBidi" w:cstheme="majorBidi"/>
          <w:sz w:val="24"/>
          <w:szCs w:val="24"/>
        </w:rPr>
        <w:t>зв</w:t>
      </w:r>
      <w:r w:rsidR="00FB7FC4" w:rsidRPr="00FB7FC4">
        <w:rPr>
          <w:rFonts w:asciiTheme="majorBidi" w:hAnsiTheme="majorBidi" w:cstheme="majorBidi"/>
          <w:sz w:val="24"/>
          <w:szCs w:val="24"/>
        </w:rPr>
        <w:t>’</w:t>
      </w:r>
      <w:r w:rsidR="00FB7FC4">
        <w:rPr>
          <w:rFonts w:asciiTheme="majorBidi" w:hAnsiTheme="majorBidi" w:cstheme="majorBidi"/>
          <w:sz w:val="24"/>
          <w:szCs w:val="24"/>
        </w:rPr>
        <w:t>язок</w:t>
      </w:r>
      <w:r w:rsidR="00A5118F">
        <w:rPr>
          <w:rFonts w:asciiTheme="majorBidi" w:hAnsiTheme="majorBidi" w:cstheme="majorBidi"/>
          <w:sz w:val="24"/>
          <w:szCs w:val="24"/>
        </w:rPr>
        <w:t xml:space="preserve"> у частині процесуальних зобов’язань може бути встановлений з факту ініціації кримінального розслідування, однак лише за умови наявності «особливих ознак», які не піддаються вичерпному перелічуванню. За наявності «особливих ознак» юрисдикційний зв'язок може бути встановлений і за відсутності ініціації кримінального розслідування.</w:t>
      </w:r>
    </w:p>
    <w:p w:rsidR="00A5118F" w:rsidRDefault="00A5118F" w:rsidP="00A010BE">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Спектр порушень, за якими у Держави-Учасниці Конвенції є процесуальні зобов’язання, не обмежується статтями 2, 3 і 4 Конвенції. Такі зобов’язання виникають і щодо інших серйозних порушень, зокрема, за статтями </w:t>
      </w:r>
      <w:r w:rsidRPr="00DF2396">
        <w:rPr>
          <w:rFonts w:asciiTheme="majorBidi" w:hAnsiTheme="majorBidi" w:cstheme="majorBidi"/>
          <w:sz w:val="24"/>
          <w:szCs w:val="24"/>
        </w:rPr>
        <w:t>5</w:t>
      </w:r>
      <w:r w:rsidRPr="00DF2396">
        <w:rPr>
          <w:rStyle w:val="a8"/>
          <w:rFonts w:asciiTheme="majorBidi" w:hAnsiTheme="majorBidi" w:cstheme="majorBidi"/>
          <w:sz w:val="24"/>
          <w:szCs w:val="24"/>
        </w:rPr>
        <w:t>,</w:t>
      </w:r>
      <w:r w:rsidRPr="00DF2396">
        <w:rPr>
          <w:rFonts w:asciiTheme="majorBidi" w:hAnsiTheme="majorBidi" w:cstheme="majorBidi"/>
          <w:sz w:val="24"/>
          <w:szCs w:val="24"/>
        </w:rPr>
        <w:t xml:space="preserve"> 8, 9, 10, 11, 14, статті 1 Протоколу 1 до Конвенції</w:t>
      </w:r>
      <w:r>
        <w:rPr>
          <w:rFonts w:asciiTheme="majorBidi" w:hAnsiTheme="majorBidi" w:cstheme="majorBidi"/>
          <w:sz w:val="24"/>
          <w:szCs w:val="24"/>
        </w:rPr>
        <w:t>.</w:t>
      </w:r>
    </w:p>
    <w:p w:rsidR="00A5118F" w:rsidRDefault="00A5118F" w:rsidP="00E47CC7">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Обов’язок розслідувати порушення виникає не тільки у випадку отримання повідомлення про злочин, але і за наявності ознак, які вказують на вчинення порушення, навіть за відсутності заяви від потерпілої сторони.</w:t>
      </w:r>
    </w:p>
    <w:p w:rsidR="00A5118F" w:rsidRPr="00A010BE" w:rsidRDefault="00A5118F" w:rsidP="00A010BE">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До розслідувань порушень, вчинених у контексті збройного конфлікту, </w:t>
      </w:r>
      <w:r w:rsidR="00A010BE">
        <w:rPr>
          <w:rFonts w:asciiTheme="majorBidi" w:hAnsiTheme="majorBidi" w:cstheme="majorBidi"/>
          <w:sz w:val="24"/>
          <w:szCs w:val="24"/>
        </w:rPr>
        <w:t>Європейський суд з прав людини</w:t>
      </w:r>
      <w:r>
        <w:rPr>
          <w:rFonts w:asciiTheme="majorBidi" w:hAnsiTheme="majorBidi" w:cstheme="majorBidi"/>
          <w:sz w:val="24"/>
          <w:szCs w:val="24"/>
        </w:rPr>
        <w:t xml:space="preserve"> застосовує такі ж самі критерії ефективності розслідування, як і за звичайних умов (незалежність, адекватність (ретельність), громадський контроль і залучення потерпілого). Однак при оцінці відповідності розслідування зазначеним критеріям Суд враховує обставини справи та об’єктивні труд</w:t>
      </w:r>
      <w:r w:rsidR="00A010BE">
        <w:rPr>
          <w:rFonts w:asciiTheme="majorBidi" w:hAnsiTheme="majorBidi" w:cstheme="majorBidi"/>
          <w:sz w:val="24"/>
          <w:szCs w:val="24"/>
        </w:rPr>
        <w:t>нощі, спричинені бойовими діями</w:t>
      </w:r>
      <w:r w:rsidR="00A010BE" w:rsidRPr="00A010BE">
        <w:rPr>
          <w:rFonts w:asciiTheme="majorBidi" w:hAnsiTheme="majorBidi" w:cstheme="majorBidi"/>
          <w:sz w:val="24"/>
          <w:szCs w:val="24"/>
        </w:rPr>
        <w:t xml:space="preserve"> </w:t>
      </w:r>
      <w:r w:rsidR="00A010BE">
        <w:rPr>
          <w:rFonts w:asciiTheme="majorBidi" w:hAnsiTheme="majorBidi" w:cstheme="majorBidi"/>
          <w:sz w:val="24"/>
          <w:szCs w:val="24"/>
        </w:rPr>
        <w:t>чи іншими складнощами.</w:t>
      </w:r>
    </w:p>
    <w:p w:rsidR="00DF2396" w:rsidRPr="00E47CC7" w:rsidRDefault="00DF2396" w:rsidP="00E47CC7">
      <w:pPr>
        <w:spacing w:after="0" w:line="240" w:lineRule="auto"/>
        <w:ind w:firstLine="567"/>
        <w:jc w:val="both"/>
        <w:rPr>
          <w:rFonts w:asciiTheme="majorBidi" w:hAnsiTheme="majorBidi" w:cstheme="majorBidi"/>
          <w:sz w:val="24"/>
          <w:szCs w:val="24"/>
        </w:rPr>
      </w:pPr>
    </w:p>
    <w:p w:rsidR="00E47CC7" w:rsidRDefault="00E47CC7" w:rsidP="00E47CC7">
      <w:pPr>
        <w:spacing w:after="0" w:line="240" w:lineRule="auto"/>
        <w:ind w:firstLine="567"/>
        <w:jc w:val="both"/>
        <w:rPr>
          <w:rFonts w:asciiTheme="majorBidi" w:hAnsiTheme="majorBidi" w:cstheme="majorBidi"/>
          <w:b/>
          <w:bCs/>
          <w:sz w:val="24"/>
          <w:szCs w:val="24"/>
        </w:rPr>
      </w:pPr>
      <w:r>
        <w:rPr>
          <w:rFonts w:asciiTheme="majorBidi" w:hAnsiTheme="majorBidi" w:cstheme="majorBidi"/>
          <w:b/>
          <w:bCs/>
          <w:sz w:val="24"/>
          <w:szCs w:val="24"/>
        </w:rPr>
        <w:t>Ключові слова</w:t>
      </w:r>
    </w:p>
    <w:p w:rsidR="002623A8" w:rsidRDefault="00E47CC7" w:rsidP="002623A8">
      <w:pPr>
        <w:spacing w:after="0" w:line="240" w:lineRule="auto"/>
        <w:ind w:firstLine="567"/>
        <w:jc w:val="both"/>
        <w:rPr>
          <w:rFonts w:asciiTheme="majorBidi" w:hAnsiTheme="majorBidi" w:cstheme="majorBidi"/>
          <w:sz w:val="24"/>
          <w:szCs w:val="24"/>
        </w:rPr>
      </w:pPr>
      <w:r w:rsidRPr="00E47CC7">
        <w:rPr>
          <w:rFonts w:asciiTheme="majorBidi" w:hAnsiTheme="majorBidi" w:cstheme="majorBidi"/>
          <w:sz w:val="24"/>
          <w:szCs w:val="24"/>
        </w:rPr>
        <w:t xml:space="preserve">Ефективність розслідування, Європейський суд з прав людини, </w:t>
      </w:r>
      <w:r>
        <w:rPr>
          <w:rFonts w:asciiTheme="majorBidi" w:hAnsiTheme="majorBidi" w:cstheme="majorBidi"/>
          <w:sz w:val="24"/>
          <w:szCs w:val="24"/>
        </w:rPr>
        <w:t xml:space="preserve">збройний конфлікт, збройна агресія Російської Федерації, юрисдикційний зв'язок </w:t>
      </w:r>
    </w:p>
    <w:p w:rsidR="002623A8" w:rsidRDefault="002623A8" w:rsidP="002623A8">
      <w:pPr>
        <w:spacing w:after="0" w:line="240" w:lineRule="auto"/>
        <w:ind w:firstLine="567"/>
        <w:jc w:val="both"/>
        <w:rPr>
          <w:rFonts w:asciiTheme="majorBidi" w:hAnsiTheme="majorBidi" w:cstheme="majorBidi"/>
          <w:sz w:val="24"/>
          <w:szCs w:val="24"/>
        </w:rPr>
      </w:pPr>
    </w:p>
    <w:p w:rsidR="002623A8" w:rsidRPr="00A04F95" w:rsidRDefault="002623A8" w:rsidP="002623A8">
      <w:pPr>
        <w:spacing w:after="0" w:line="240" w:lineRule="auto"/>
        <w:ind w:firstLine="567"/>
        <w:jc w:val="both"/>
        <w:rPr>
          <w:rFonts w:asciiTheme="majorBidi" w:hAnsiTheme="majorBidi" w:cstheme="majorBidi"/>
          <w:b/>
          <w:bCs/>
          <w:sz w:val="24"/>
          <w:szCs w:val="24"/>
          <w:lang w:val="en-US"/>
        </w:rPr>
      </w:pPr>
      <w:r w:rsidRPr="00A04F95">
        <w:rPr>
          <w:rFonts w:asciiTheme="majorBidi" w:hAnsiTheme="majorBidi" w:cstheme="majorBidi"/>
          <w:b/>
          <w:bCs/>
          <w:sz w:val="24"/>
          <w:szCs w:val="24"/>
          <w:lang w:val="en-US"/>
        </w:rPr>
        <w:t>Abstract</w:t>
      </w:r>
    </w:p>
    <w:p w:rsidR="002623A8" w:rsidRDefault="00F03972" w:rsidP="00F03972">
      <w:pPr>
        <w:spacing w:after="0" w:line="24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This</w:t>
      </w:r>
      <w:r w:rsidR="006A0D2F" w:rsidRPr="006A0D2F">
        <w:rPr>
          <w:rFonts w:asciiTheme="majorBidi" w:hAnsiTheme="majorBidi" w:cstheme="majorBidi"/>
          <w:sz w:val="24"/>
          <w:szCs w:val="24"/>
          <w:lang w:val="en-US"/>
        </w:rPr>
        <w:t xml:space="preserve"> article examines specific</w:t>
      </w:r>
      <w:r w:rsidR="006A0D2F">
        <w:rPr>
          <w:rFonts w:asciiTheme="majorBidi" w:hAnsiTheme="majorBidi" w:cstheme="majorBidi"/>
          <w:sz w:val="24"/>
          <w:szCs w:val="24"/>
        </w:rPr>
        <w:t xml:space="preserve"> </w:t>
      </w:r>
      <w:r w:rsidR="006A0D2F">
        <w:rPr>
          <w:rFonts w:asciiTheme="majorBidi" w:hAnsiTheme="majorBidi" w:cstheme="majorBidi"/>
          <w:sz w:val="24"/>
          <w:szCs w:val="24"/>
          <w:lang w:val="en-US"/>
        </w:rPr>
        <w:t xml:space="preserve">features </w:t>
      </w:r>
      <w:r w:rsidR="006A0D2F" w:rsidRPr="006A0D2F">
        <w:rPr>
          <w:rFonts w:asciiTheme="majorBidi" w:hAnsiTheme="majorBidi" w:cstheme="majorBidi"/>
          <w:sz w:val="24"/>
          <w:szCs w:val="24"/>
          <w:lang w:val="en-US"/>
        </w:rPr>
        <w:t>of procedural obligations of the States Parties to the European Convention on Human Rights (</w:t>
      </w:r>
      <w:r w:rsidR="006A0D2F">
        <w:rPr>
          <w:rFonts w:asciiTheme="majorBidi" w:hAnsiTheme="majorBidi" w:cstheme="majorBidi"/>
          <w:sz w:val="24"/>
          <w:szCs w:val="24"/>
          <w:lang w:val="en-US"/>
        </w:rPr>
        <w:t xml:space="preserve">hereinafter also </w:t>
      </w:r>
      <w:r w:rsidR="006A0D2F">
        <w:rPr>
          <w:rFonts w:asciiTheme="majorBidi" w:hAnsiTheme="majorBidi" w:cstheme="majorBidi"/>
          <w:sz w:val="24"/>
          <w:szCs w:val="24"/>
        </w:rPr>
        <w:t>«</w:t>
      </w:r>
      <w:r w:rsidR="006A0D2F">
        <w:rPr>
          <w:rFonts w:asciiTheme="majorBidi" w:hAnsiTheme="majorBidi" w:cstheme="majorBidi"/>
          <w:sz w:val="24"/>
          <w:szCs w:val="24"/>
          <w:lang w:val="en-US"/>
        </w:rPr>
        <w:t>the Convention</w:t>
      </w:r>
      <w:r w:rsidR="006A0D2F">
        <w:rPr>
          <w:rFonts w:asciiTheme="majorBidi" w:hAnsiTheme="majorBidi" w:cstheme="majorBidi"/>
          <w:sz w:val="24"/>
          <w:szCs w:val="24"/>
        </w:rPr>
        <w:t>»</w:t>
      </w:r>
      <w:r w:rsidR="006A0D2F" w:rsidRPr="006A0D2F">
        <w:rPr>
          <w:rFonts w:asciiTheme="majorBidi" w:hAnsiTheme="majorBidi" w:cstheme="majorBidi"/>
          <w:sz w:val="24"/>
          <w:szCs w:val="24"/>
          <w:lang w:val="en-US"/>
        </w:rPr>
        <w:t>) regarding investigations into violations of the European Convention on Human Rights committed in the</w:t>
      </w:r>
      <w:r w:rsidR="006A0D2F">
        <w:rPr>
          <w:rFonts w:asciiTheme="majorBidi" w:hAnsiTheme="majorBidi" w:cstheme="majorBidi"/>
          <w:sz w:val="24"/>
          <w:szCs w:val="24"/>
          <w:lang w:val="en-US"/>
        </w:rPr>
        <w:t xml:space="preserve"> context o</w:t>
      </w:r>
      <w:r>
        <w:rPr>
          <w:rFonts w:asciiTheme="majorBidi" w:hAnsiTheme="majorBidi" w:cstheme="majorBidi"/>
          <w:sz w:val="24"/>
          <w:szCs w:val="24"/>
          <w:lang w:val="en-US"/>
        </w:rPr>
        <w:t xml:space="preserve">f an armed conflict, including </w:t>
      </w:r>
      <w:r w:rsidR="006A0D2F" w:rsidRPr="006A0D2F">
        <w:rPr>
          <w:rFonts w:asciiTheme="majorBidi" w:hAnsiTheme="majorBidi" w:cstheme="majorBidi"/>
          <w:sz w:val="24"/>
          <w:szCs w:val="24"/>
          <w:lang w:val="en-US"/>
        </w:rPr>
        <w:t>issue</w:t>
      </w:r>
      <w:r w:rsidR="006A0D2F">
        <w:rPr>
          <w:rFonts w:asciiTheme="majorBidi" w:hAnsiTheme="majorBidi" w:cstheme="majorBidi"/>
          <w:sz w:val="24"/>
          <w:szCs w:val="24"/>
          <w:lang w:val="en-US"/>
        </w:rPr>
        <w:t>s</w:t>
      </w:r>
      <w:r w:rsidR="006A0D2F" w:rsidRPr="006A0D2F">
        <w:rPr>
          <w:rFonts w:asciiTheme="majorBidi" w:hAnsiTheme="majorBidi" w:cstheme="majorBidi"/>
          <w:sz w:val="24"/>
          <w:szCs w:val="24"/>
          <w:lang w:val="en-US"/>
        </w:rPr>
        <w:t xml:space="preserve"> of the jurisdictional </w:t>
      </w:r>
      <w:r w:rsidR="006A0D2F">
        <w:rPr>
          <w:rFonts w:asciiTheme="majorBidi" w:hAnsiTheme="majorBidi" w:cstheme="majorBidi"/>
          <w:sz w:val="24"/>
          <w:szCs w:val="24"/>
          <w:lang w:val="en-US"/>
        </w:rPr>
        <w:t xml:space="preserve">link </w:t>
      </w:r>
      <w:r w:rsidR="006A0D2F" w:rsidRPr="006A0D2F">
        <w:rPr>
          <w:rFonts w:asciiTheme="majorBidi" w:hAnsiTheme="majorBidi" w:cstheme="majorBidi"/>
          <w:sz w:val="24"/>
          <w:szCs w:val="24"/>
          <w:lang w:val="en-US"/>
        </w:rPr>
        <w:t xml:space="preserve">between the </w:t>
      </w:r>
      <w:r w:rsidR="006A0D2F">
        <w:rPr>
          <w:rFonts w:asciiTheme="majorBidi" w:hAnsiTheme="majorBidi" w:cstheme="majorBidi"/>
          <w:sz w:val="24"/>
          <w:szCs w:val="24"/>
          <w:lang w:val="en-US"/>
        </w:rPr>
        <w:t xml:space="preserve">investigative duty </w:t>
      </w:r>
      <w:r w:rsidR="006A0D2F" w:rsidRPr="006A0D2F">
        <w:rPr>
          <w:rFonts w:asciiTheme="majorBidi" w:hAnsiTheme="majorBidi" w:cstheme="majorBidi"/>
          <w:sz w:val="24"/>
          <w:szCs w:val="24"/>
          <w:lang w:val="en-US"/>
        </w:rPr>
        <w:t>and the State Party to the Convention, the spectrum of violations to be investigated, the</w:t>
      </w:r>
      <w:r w:rsidR="006A0D2F">
        <w:rPr>
          <w:rFonts w:asciiTheme="majorBidi" w:hAnsiTheme="majorBidi" w:cstheme="majorBidi"/>
          <w:sz w:val="24"/>
          <w:szCs w:val="24"/>
          <w:lang w:val="en-US"/>
        </w:rPr>
        <w:t xml:space="preserve"> </w:t>
      </w:r>
      <w:r w:rsidR="006A0D2F">
        <w:rPr>
          <w:rFonts w:asciiTheme="majorBidi" w:hAnsiTheme="majorBidi" w:cstheme="majorBidi"/>
          <w:sz w:val="24"/>
          <w:szCs w:val="24"/>
          <w:lang w:val="en-US"/>
        </w:rPr>
        <w:lastRenderedPageBreak/>
        <w:t>emergence</w:t>
      </w:r>
      <w:r w:rsidR="006A0D2F" w:rsidRPr="006A0D2F">
        <w:rPr>
          <w:rFonts w:asciiTheme="majorBidi" w:hAnsiTheme="majorBidi" w:cstheme="majorBidi"/>
          <w:sz w:val="24"/>
          <w:szCs w:val="24"/>
          <w:lang w:val="en-US"/>
        </w:rPr>
        <w:t xml:space="preserve"> of</w:t>
      </w:r>
      <w:r>
        <w:rPr>
          <w:rFonts w:asciiTheme="majorBidi" w:hAnsiTheme="majorBidi" w:cstheme="majorBidi"/>
          <w:sz w:val="24"/>
          <w:szCs w:val="24"/>
          <w:lang w:val="en-US"/>
        </w:rPr>
        <w:t xml:space="preserve"> the </w:t>
      </w:r>
      <w:r w:rsidR="006A0D2F">
        <w:rPr>
          <w:rFonts w:asciiTheme="majorBidi" w:hAnsiTheme="majorBidi" w:cstheme="majorBidi"/>
          <w:sz w:val="24"/>
          <w:szCs w:val="24"/>
          <w:lang w:val="en-US"/>
        </w:rPr>
        <w:t xml:space="preserve">investigative </w:t>
      </w:r>
      <w:r w:rsidR="006A0D2F" w:rsidRPr="006A0D2F">
        <w:rPr>
          <w:rFonts w:asciiTheme="majorBidi" w:hAnsiTheme="majorBidi" w:cstheme="majorBidi"/>
          <w:sz w:val="24"/>
          <w:szCs w:val="24"/>
          <w:lang w:val="en-US"/>
        </w:rPr>
        <w:t>duty, and the content of procedural obligations in the context of an armed conflict</w:t>
      </w:r>
      <w:r w:rsidR="006A0D2F">
        <w:rPr>
          <w:rFonts w:asciiTheme="majorBidi" w:hAnsiTheme="majorBidi" w:cstheme="majorBidi"/>
          <w:sz w:val="24"/>
          <w:szCs w:val="24"/>
          <w:lang w:val="en-US"/>
        </w:rPr>
        <w:t>.</w:t>
      </w:r>
    </w:p>
    <w:p w:rsidR="006A0D2F" w:rsidRDefault="006A0D2F" w:rsidP="00F03972">
      <w:pPr>
        <w:spacing w:after="0" w:line="24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J</w:t>
      </w:r>
      <w:r w:rsidRPr="006A0D2F">
        <w:rPr>
          <w:rFonts w:asciiTheme="majorBidi" w:hAnsiTheme="majorBidi" w:cstheme="majorBidi"/>
          <w:sz w:val="24"/>
          <w:szCs w:val="24"/>
          <w:lang w:val="en-US"/>
        </w:rPr>
        <w:t>urisdictional competence</w:t>
      </w:r>
      <w:r>
        <w:rPr>
          <w:rFonts w:asciiTheme="majorBidi" w:hAnsiTheme="majorBidi" w:cstheme="majorBidi"/>
          <w:sz w:val="24"/>
          <w:szCs w:val="24"/>
          <w:lang w:val="en-US"/>
        </w:rPr>
        <w:t xml:space="preserve"> of the High Contracting Parties to the European Convention on Human Rights for the purposes of Article 1</w:t>
      </w:r>
      <w:r w:rsidR="0046737A">
        <w:rPr>
          <w:rFonts w:asciiTheme="majorBidi" w:hAnsiTheme="majorBidi" w:cstheme="majorBidi"/>
          <w:sz w:val="24"/>
          <w:szCs w:val="24"/>
          <w:lang w:val="en-US"/>
        </w:rPr>
        <w:t xml:space="preserve"> is primarily territorial; however, the European Court of Human Rights has established a number of exceptions to this general principle. In particular, in the event of occupation of </w:t>
      </w:r>
      <w:r w:rsidR="00F03972">
        <w:rPr>
          <w:rFonts w:asciiTheme="majorBidi" w:hAnsiTheme="majorBidi" w:cstheme="majorBidi"/>
          <w:sz w:val="24"/>
          <w:szCs w:val="24"/>
          <w:lang w:val="en-US"/>
        </w:rPr>
        <w:t xml:space="preserve">a </w:t>
      </w:r>
      <w:r w:rsidR="0046737A">
        <w:rPr>
          <w:rFonts w:asciiTheme="majorBidi" w:hAnsiTheme="majorBidi" w:cstheme="majorBidi"/>
          <w:sz w:val="24"/>
          <w:szCs w:val="24"/>
          <w:lang w:val="en-US"/>
        </w:rPr>
        <w:t>part of territory by another state, the State Party</w:t>
      </w:r>
      <w:r w:rsidR="00FB7FC4">
        <w:rPr>
          <w:rFonts w:asciiTheme="majorBidi" w:hAnsiTheme="majorBidi" w:cstheme="majorBidi"/>
          <w:sz w:val="24"/>
          <w:szCs w:val="24"/>
          <w:lang w:val="en-US"/>
        </w:rPr>
        <w:t xml:space="preserve"> retains its jurisdiction, </w:t>
      </w:r>
      <w:r w:rsidR="00F03972">
        <w:rPr>
          <w:rFonts w:asciiTheme="majorBidi" w:hAnsiTheme="majorBidi" w:cstheme="majorBidi"/>
          <w:sz w:val="24"/>
          <w:szCs w:val="24"/>
          <w:lang w:val="en-US"/>
        </w:rPr>
        <w:t xml:space="preserve">although </w:t>
      </w:r>
      <w:r w:rsidR="00FB7FC4">
        <w:rPr>
          <w:rFonts w:asciiTheme="majorBidi" w:hAnsiTheme="majorBidi" w:cstheme="majorBidi"/>
          <w:sz w:val="24"/>
          <w:szCs w:val="24"/>
          <w:lang w:val="en-US"/>
        </w:rPr>
        <w:t xml:space="preserve">the latter is limited in scope. </w:t>
      </w:r>
      <w:r w:rsidR="00FB7FC4" w:rsidRPr="00FB7FC4">
        <w:rPr>
          <w:rFonts w:asciiTheme="majorBidi" w:hAnsiTheme="majorBidi" w:cstheme="majorBidi"/>
          <w:sz w:val="24"/>
          <w:szCs w:val="24"/>
          <w:lang w:val="en-US"/>
        </w:rPr>
        <w:t xml:space="preserve">In the case of a violation committed outside the territory of the State Party, the jurisdictional </w:t>
      </w:r>
      <w:r w:rsidR="00FB7FC4">
        <w:rPr>
          <w:rFonts w:asciiTheme="majorBidi" w:hAnsiTheme="majorBidi" w:cstheme="majorBidi"/>
          <w:sz w:val="24"/>
          <w:szCs w:val="24"/>
          <w:lang w:val="en-US"/>
        </w:rPr>
        <w:t xml:space="preserve">link </w:t>
      </w:r>
      <w:r w:rsidR="00FB7FC4" w:rsidRPr="00FB7FC4">
        <w:rPr>
          <w:rFonts w:asciiTheme="majorBidi" w:hAnsiTheme="majorBidi" w:cstheme="majorBidi"/>
          <w:sz w:val="24"/>
          <w:szCs w:val="24"/>
          <w:lang w:val="en-US"/>
        </w:rPr>
        <w:t>in terms of procedural obligations can be established from the fact of the initiation of a c</w:t>
      </w:r>
      <w:r w:rsidR="00FB7FC4">
        <w:rPr>
          <w:rFonts w:asciiTheme="majorBidi" w:hAnsiTheme="majorBidi" w:cstheme="majorBidi"/>
          <w:sz w:val="24"/>
          <w:szCs w:val="24"/>
          <w:lang w:val="en-US"/>
        </w:rPr>
        <w:t xml:space="preserve">riminal investigation, but only provided that </w:t>
      </w:r>
      <w:r w:rsidR="00FB7FC4" w:rsidRPr="00FB7FC4">
        <w:rPr>
          <w:rFonts w:asciiTheme="majorBidi" w:hAnsiTheme="majorBidi" w:cstheme="majorBidi"/>
          <w:sz w:val="24"/>
          <w:szCs w:val="24"/>
          <w:lang w:val="en-US"/>
        </w:rPr>
        <w:t xml:space="preserve">there are </w:t>
      </w:r>
      <w:r w:rsidR="00FB7FC4">
        <w:rPr>
          <w:rFonts w:asciiTheme="majorBidi" w:hAnsiTheme="majorBidi" w:cstheme="majorBidi"/>
          <w:sz w:val="24"/>
          <w:szCs w:val="24"/>
        </w:rPr>
        <w:t>«</w:t>
      </w:r>
      <w:r w:rsidR="00FB7FC4">
        <w:rPr>
          <w:rFonts w:asciiTheme="majorBidi" w:hAnsiTheme="majorBidi" w:cstheme="majorBidi"/>
          <w:sz w:val="24"/>
          <w:szCs w:val="24"/>
          <w:lang w:val="en-US"/>
        </w:rPr>
        <w:t>special features</w:t>
      </w:r>
      <w:r w:rsidR="00FB7FC4">
        <w:rPr>
          <w:rFonts w:asciiTheme="majorBidi" w:hAnsiTheme="majorBidi" w:cstheme="majorBidi"/>
          <w:sz w:val="24"/>
          <w:szCs w:val="24"/>
        </w:rPr>
        <w:t>»</w:t>
      </w:r>
      <w:r w:rsidR="00FB7FC4" w:rsidRPr="00FB7FC4">
        <w:rPr>
          <w:rFonts w:asciiTheme="majorBidi" w:hAnsiTheme="majorBidi" w:cstheme="majorBidi"/>
          <w:sz w:val="24"/>
          <w:szCs w:val="24"/>
          <w:lang w:val="en-US"/>
        </w:rPr>
        <w:t xml:space="preserve"> that cannot be exhaustively listed. In the presence of </w:t>
      </w:r>
      <w:r w:rsidR="00FB7FC4">
        <w:rPr>
          <w:rFonts w:asciiTheme="majorBidi" w:hAnsiTheme="majorBidi" w:cstheme="majorBidi"/>
          <w:sz w:val="24"/>
          <w:szCs w:val="24"/>
        </w:rPr>
        <w:t>«</w:t>
      </w:r>
      <w:r w:rsidR="00FB7FC4">
        <w:rPr>
          <w:rFonts w:asciiTheme="majorBidi" w:hAnsiTheme="majorBidi" w:cstheme="majorBidi"/>
          <w:sz w:val="24"/>
          <w:szCs w:val="24"/>
          <w:lang w:val="en-US"/>
        </w:rPr>
        <w:t>special features</w:t>
      </w:r>
      <w:r w:rsidR="00FB7FC4">
        <w:rPr>
          <w:rFonts w:asciiTheme="majorBidi" w:hAnsiTheme="majorBidi" w:cstheme="majorBidi"/>
          <w:sz w:val="24"/>
          <w:szCs w:val="24"/>
        </w:rPr>
        <w:t>»</w:t>
      </w:r>
      <w:r w:rsidR="00FB7FC4">
        <w:rPr>
          <w:rFonts w:asciiTheme="majorBidi" w:hAnsiTheme="majorBidi" w:cstheme="majorBidi"/>
          <w:sz w:val="24"/>
          <w:szCs w:val="24"/>
          <w:lang w:val="en-US"/>
        </w:rPr>
        <w:t xml:space="preserve">, </w:t>
      </w:r>
      <w:r w:rsidR="00FB7FC4" w:rsidRPr="00FB7FC4">
        <w:rPr>
          <w:rFonts w:asciiTheme="majorBidi" w:hAnsiTheme="majorBidi" w:cstheme="majorBidi"/>
          <w:sz w:val="24"/>
          <w:szCs w:val="24"/>
          <w:lang w:val="en-US"/>
        </w:rPr>
        <w:t xml:space="preserve">a jurisdictional </w:t>
      </w:r>
      <w:r w:rsidR="00FB7FC4">
        <w:rPr>
          <w:rFonts w:asciiTheme="majorBidi" w:hAnsiTheme="majorBidi" w:cstheme="majorBidi"/>
          <w:sz w:val="24"/>
          <w:szCs w:val="24"/>
          <w:lang w:val="en-US"/>
        </w:rPr>
        <w:t xml:space="preserve">link </w:t>
      </w:r>
      <w:r w:rsidR="00FB7FC4" w:rsidRPr="00FB7FC4">
        <w:rPr>
          <w:rFonts w:asciiTheme="majorBidi" w:hAnsiTheme="majorBidi" w:cstheme="majorBidi"/>
          <w:sz w:val="24"/>
          <w:szCs w:val="24"/>
          <w:lang w:val="en-US"/>
        </w:rPr>
        <w:t xml:space="preserve">can be established even </w:t>
      </w:r>
      <w:r w:rsidR="00FB7FC4">
        <w:rPr>
          <w:rFonts w:asciiTheme="majorBidi" w:hAnsiTheme="majorBidi" w:cstheme="majorBidi"/>
          <w:sz w:val="24"/>
          <w:szCs w:val="24"/>
          <w:lang w:val="en-US"/>
        </w:rPr>
        <w:t>when criminal proceedings were not instituted.</w:t>
      </w:r>
    </w:p>
    <w:p w:rsidR="00FB7FC4" w:rsidRDefault="00FB7FC4" w:rsidP="00FB7FC4">
      <w:pPr>
        <w:spacing w:after="0" w:line="240" w:lineRule="auto"/>
        <w:ind w:firstLine="567"/>
        <w:jc w:val="both"/>
        <w:rPr>
          <w:rFonts w:asciiTheme="majorBidi" w:hAnsiTheme="majorBidi" w:cstheme="majorBidi"/>
          <w:sz w:val="24"/>
          <w:szCs w:val="24"/>
          <w:lang w:val="en-US"/>
        </w:rPr>
      </w:pPr>
      <w:r w:rsidRPr="00FB7FC4">
        <w:rPr>
          <w:rFonts w:asciiTheme="majorBidi" w:hAnsiTheme="majorBidi" w:cstheme="majorBidi"/>
          <w:sz w:val="24"/>
          <w:szCs w:val="24"/>
          <w:lang w:val="en-US"/>
        </w:rPr>
        <w:t xml:space="preserve">The range of violations for which the State Party to the Convention has procedural obligations is not limited to Articles 2, 3 and 4 of the Convention. Such obligations also arise in relation to other serious violations, in particular, under Articles 5, 8, 9, 10, 11, 14, </w:t>
      </w:r>
      <w:r w:rsidR="00F03972">
        <w:rPr>
          <w:rFonts w:asciiTheme="majorBidi" w:hAnsiTheme="majorBidi" w:cstheme="majorBidi"/>
          <w:sz w:val="24"/>
          <w:szCs w:val="24"/>
          <w:lang w:val="en-US"/>
        </w:rPr>
        <w:t xml:space="preserve">and </w:t>
      </w:r>
      <w:r w:rsidRPr="00FB7FC4">
        <w:rPr>
          <w:rFonts w:asciiTheme="majorBidi" w:hAnsiTheme="majorBidi" w:cstheme="majorBidi"/>
          <w:sz w:val="24"/>
          <w:szCs w:val="24"/>
          <w:lang w:val="en-US"/>
        </w:rPr>
        <w:t>Article 1 of Protocol 1 to the Convention.</w:t>
      </w:r>
    </w:p>
    <w:p w:rsidR="00A010BE" w:rsidRDefault="00A010BE" w:rsidP="00A010BE">
      <w:pPr>
        <w:spacing w:after="0" w:line="240" w:lineRule="auto"/>
        <w:ind w:firstLine="567"/>
        <w:jc w:val="both"/>
        <w:rPr>
          <w:rFonts w:asciiTheme="majorBidi" w:hAnsiTheme="majorBidi" w:cstheme="majorBidi"/>
          <w:sz w:val="24"/>
          <w:szCs w:val="24"/>
        </w:rPr>
      </w:pPr>
      <w:r w:rsidRPr="00A010BE">
        <w:rPr>
          <w:rFonts w:asciiTheme="majorBidi" w:hAnsiTheme="majorBidi" w:cstheme="majorBidi"/>
          <w:sz w:val="24"/>
          <w:szCs w:val="24"/>
          <w:lang w:val="en-US"/>
        </w:rPr>
        <w:t xml:space="preserve">The obligation to investigate a violation arises not only </w:t>
      </w:r>
      <w:r>
        <w:rPr>
          <w:rFonts w:asciiTheme="majorBidi" w:hAnsiTheme="majorBidi" w:cstheme="majorBidi"/>
          <w:sz w:val="24"/>
          <w:szCs w:val="24"/>
          <w:lang w:val="en-US"/>
        </w:rPr>
        <w:t xml:space="preserve">when </w:t>
      </w:r>
      <w:r w:rsidRPr="00A010BE">
        <w:rPr>
          <w:rFonts w:asciiTheme="majorBidi" w:hAnsiTheme="majorBidi" w:cstheme="majorBidi"/>
          <w:sz w:val="24"/>
          <w:szCs w:val="24"/>
          <w:lang w:val="en-US"/>
        </w:rPr>
        <w:t xml:space="preserve">an individual makes an </w:t>
      </w:r>
      <w:r>
        <w:rPr>
          <w:rFonts w:asciiTheme="majorBidi" w:hAnsiTheme="majorBidi" w:cstheme="majorBidi"/>
          <w:sz w:val="24"/>
          <w:szCs w:val="24"/>
        </w:rPr>
        <w:t>«</w:t>
      </w:r>
      <w:r w:rsidRPr="00A010BE">
        <w:rPr>
          <w:rFonts w:asciiTheme="majorBidi" w:hAnsiTheme="majorBidi" w:cstheme="majorBidi"/>
          <w:sz w:val="24"/>
          <w:szCs w:val="24"/>
          <w:lang w:val="en-US"/>
        </w:rPr>
        <w:t xml:space="preserve">arguable complaint», </w:t>
      </w:r>
      <w:r>
        <w:rPr>
          <w:rFonts w:asciiTheme="majorBidi" w:hAnsiTheme="majorBidi" w:cstheme="majorBidi"/>
          <w:sz w:val="24"/>
          <w:szCs w:val="24"/>
          <w:lang w:val="en-US"/>
        </w:rPr>
        <w:t xml:space="preserve">but also </w:t>
      </w:r>
      <w:r w:rsidRPr="00A010BE">
        <w:rPr>
          <w:rFonts w:asciiTheme="majorBidi" w:hAnsiTheme="majorBidi" w:cstheme="majorBidi"/>
          <w:sz w:val="24"/>
          <w:szCs w:val="24"/>
          <w:lang w:val="en-US"/>
        </w:rPr>
        <w:t xml:space="preserve">where there </w:t>
      </w:r>
      <w:r w:rsidRPr="00A010BE">
        <w:rPr>
          <w:rFonts w:asciiTheme="majorBidi" w:hAnsiTheme="majorBidi" w:cstheme="majorBidi"/>
          <w:i/>
          <w:iCs/>
          <w:sz w:val="24"/>
          <w:szCs w:val="24"/>
          <w:lang w:val="en-US"/>
        </w:rPr>
        <w:t>is prima facie</w:t>
      </w:r>
      <w:r>
        <w:rPr>
          <w:rFonts w:asciiTheme="majorBidi" w:hAnsiTheme="majorBidi" w:cstheme="majorBidi"/>
          <w:sz w:val="24"/>
          <w:szCs w:val="24"/>
          <w:lang w:val="en-US"/>
        </w:rPr>
        <w:t xml:space="preserve"> evidence of a violation</w:t>
      </w:r>
      <w:r w:rsidRPr="00A010BE">
        <w:rPr>
          <w:rFonts w:asciiTheme="majorBidi" w:hAnsiTheme="majorBidi" w:cstheme="majorBidi"/>
          <w:sz w:val="24"/>
          <w:szCs w:val="24"/>
          <w:lang w:val="en-US"/>
        </w:rPr>
        <w:t>, even in the absence of a</w:t>
      </w:r>
      <w:r>
        <w:rPr>
          <w:rFonts w:asciiTheme="majorBidi" w:hAnsiTheme="majorBidi" w:cstheme="majorBidi"/>
          <w:sz w:val="24"/>
          <w:szCs w:val="24"/>
          <w:lang w:val="en-US"/>
        </w:rPr>
        <w:t>n express complaint</w:t>
      </w:r>
      <w:r w:rsidRPr="00A010BE">
        <w:rPr>
          <w:rFonts w:asciiTheme="majorBidi" w:hAnsiTheme="majorBidi" w:cstheme="majorBidi"/>
          <w:sz w:val="24"/>
          <w:szCs w:val="24"/>
          <w:lang w:val="en-US"/>
        </w:rPr>
        <w:t>.</w:t>
      </w:r>
    </w:p>
    <w:p w:rsidR="00A010BE" w:rsidRPr="00A010BE" w:rsidRDefault="00A010BE" w:rsidP="00F03972">
      <w:pPr>
        <w:spacing w:after="0" w:line="24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The European Court of Human Rights applies the same criteria to the investigations of violations, committed in the context of armed conflicts, as under regular circumstances (independence, adequacy, promptness and reasonable expedition, public oversight and victim’s involvement). </w:t>
      </w:r>
      <w:r w:rsidRPr="00A010BE">
        <w:rPr>
          <w:rFonts w:asciiTheme="majorBidi" w:hAnsiTheme="majorBidi" w:cstheme="majorBidi"/>
          <w:sz w:val="24"/>
          <w:szCs w:val="24"/>
          <w:lang w:val="en-US"/>
        </w:rPr>
        <w:t xml:space="preserve">However, when assessing compliance of investigation with the </w:t>
      </w:r>
      <w:r>
        <w:rPr>
          <w:rFonts w:asciiTheme="majorBidi" w:hAnsiTheme="majorBidi" w:cstheme="majorBidi"/>
          <w:sz w:val="24"/>
          <w:szCs w:val="24"/>
          <w:lang w:val="en-US"/>
        </w:rPr>
        <w:t xml:space="preserve">said </w:t>
      </w:r>
      <w:r w:rsidRPr="00A010BE">
        <w:rPr>
          <w:rFonts w:asciiTheme="majorBidi" w:hAnsiTheme="majorBidi" w:cstheme="majorBidi"/>
          <w:sz w:val="24"/>
          <w:szCs w:val="24"/>
          <w:lang w:val="en-US"/>
        </w:rPr>
        <w:t xml:space="preserve">criteria, the Court takes into account circumstances of </w:t>
      </w:r>
      <w:r w:rsidR="00F03972">
        <w:rPr>
          <w:rFonts w:asciiTheme="majorBidi" w:hAnsiTheme="majorBidi" w:cstheme="majorBidi"/>
          <w:sz w:val="24"/>
          <w:szCs w:val="24"/>
          <w:lang w:val="en-US"/>
        </w:rPr>
        <w:t>a</w:t>
      </w:r>
      <w:r w:rsidRPr="00A010BE">
        <w:rPr>
          <w:rFonts w:asciiTheme="majorBidi" w:hAnsiTheme="majorBidi" w:cstheme="majorBidi"/>
          <w:sz w:val="24"/>
          <w:szCs w:val="24"/>
          <w:lang w:val="en-US"/>
        </w:rPr>
        <w:t xml:space="preserve"> case and objective dif</w:t>
      </w:r>
      <w:r>
        <w:rPr>
          <w:rFonts w:asciiTheme="majorBidi" w:hAnsiTheme="majorBidi" w:cstheme="majorBidi"/>
          <w:sz w:val="24"/>
          <w:szCs w:val="24"/>
          <w:lang w:val="en-US"/>
        </w:rPr>
        <w:t>ficulties caused by hostilities or other obstacles.</w:t>
      </w:r>
    </w:p>
    <w:p w:rsidR="002623A8" w:rsidRPr="00A04F95" w:rsidRDefault="002623A8" w:rsidP="002623A8">
      <w:pPr>
        <w:spacing w:after="0" w:line="240" w:lineRule="auto"/>
        <w:ind w:firstLine="567"/>
        <w:jc w:val="both"/>
        <w:rPr>
          <w:rFonts w:asciiTheme="majorBidi" w:hAnsiTheme="majorBidi" w:cstheme="majorBidi"/>
          <w:b/>
          <w:bCs/>
          <w:sz w:val="24"/>
          <w:szCs w:val="24"/>
          <w:lang w:val="en-US"/>
        </w:rPr>
      </w:pPr>
      <w:r w:rsidRPr="00A04F95">
        <w:rPr>
          <w:rFonts w:asciiTheme="majorBidi" w:hAnsiTheme="majorBidi" w:cstheme="majorBidi"/>
          <w:b/>
          <w:bCs/>
          <w:sz w:val="24"/>
          <w:szCs w:val="24"/>
          <w:lang w:val="en-US"/>
        </w:rPr>
        <w:t>Keywords</w:t>
      </w:r>
    </w:p>
    <w:p w:rsidR="00A04F95" w:rsidRDefault="00A04F95" w:rsidP="002623A8">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lang w:val="en-US"/>
        </w:rPr>
        <w:t>Effectiveness of investigation, European Court of Human Rights, armed conflict, military aggression of Russian Federation, jurisdictional link</w:t>
      </w:r>
    </w:p>
    <w:p w:rsidR="00A010BE" w:rsidRPr="00A010BE" w:rsidRDefault="00A010BE" w:rsidP="002623A8">
      <w:pPr>
        <w:spacing w:after="0" w:line="240" w:lineRule="auto"/>
        <w:ind w:firstLine="567"/>
        <w:jc w:val="both"/>
        <w:rPr>
          <w:rFonts w:asciiTheme="majorBidi" w:hAnsiTheme="majorBidi" w:cstheme="majorBidi"/>
          <w:sz w:val="24"/>
          <w:szCs w:val="24"/>
        </w:rPr>
      </w:pPr>
    </w:p>
    <w:p w:rsidR="00DF2396" w:rsidRDefault="001C1CFB" w:rsidP="00E47CC7">
      <w:pPr>
        <w:spacing w:after="0" w:line="240" w:lineRule="auto"/>
        <w:ind w:firstLine="567"/>
        <w:jc w:val="both"/>
        <w:rPr>
          <w:rFonts w:asciiTheme="majorBidi" w:hAnsiTheme="majorBidi" w:cstheme="majorBidi"/>
          <w:b/>
          <w:bCs/>
          <w:sz w:val="24"/>
          <w:szCs w:val="24"/>
        </w:rPr>
      </w:pPr>
      <w:r w:rsidRPr="00DF2396">
        <w:rPr>
          <w:rFonts w:asciiTheme="majorBidi" w:hAnsiTheme="majorBidi" w:cstheme="majorBidi"/>
          <w:b/>
          <w:bCs/>
          <w:sz w:val="24"/>
          <w:szCs w:val="24"/>
        </w:rPr>
        <w:t>Вступ</w:t>
      </w:r>
    </w:p>
    <w:p w:rsidR="00B06694" w:rsidRPr="00DF2396" w:rsidRDefault="001A57ED" w:rsidP="00E47CC7">
      <w:pPr>
        <w:spacing w:after="0" w:line="240" w:lineRule="auto"/>
        <w:ind w:firstLine="567"/>
        <w:jc w:val="both"/>
        <w:rPr>
          <w:rFonts w:asciiTheme="majorBidi" w:hAnsiTheme="majorBidi" w:cstheme="majorBidi"/>
          <w:b/>
          <w:bCs/>
          <w:sz w:val="24"/>
          <w:szCs w:val="24"/>
        </w:rPr>
      </w:pPr>
      <w:r w:rsidRPr="00DF2396">
        <w:rPr>
          <w:rFonts w:asciiTheme="majorBidi" w:hAnsiTheme="majorBidi" w:cstheme="majorBidi"/>
          <w:sz w:val="24"/>
          <w:szCs w:val="24"/>
        </w:rPr>
        <w:t>Європейський суд з прав людини (надалі також «Суд», «ЄСПЛ») виокремлює обов’язок Держав-Учасниць Європейської конвенції з прав людини (надалі також «Конвенція») розслідувати порушення прав людини, гарантовані Конвенцією, як самостійне зобов’язання за Конвенцією. Це зобов’язання може виникнути навіть у тому випадку, коли Держава-Учасниця Конвенції не відповідає за матеріальний аспект порушення. В умовах воєнного стану, в якому продовжує перебувати Українська держава, на правоохоронні органи покладено відповідальність за розслідування численних порушень, здійснених у контексті збройної агресії Рос</w:t>
      </w:r>
      <w:r w:rsidR="00980DE5" w:rsidRPr="00DF2396">
        <w:rPr>
          <w:rFonts w:asciiTheme="majorBidi" w:hAnsiTheme="majorBidi" w:cstheme="majorBidi"/>
          <w:sz w:val="24"/>
          <w:szCs w:val="24"/>
        </w:rPr>
        <w:t>і</w:t>
      </w:r>
      <w:r w:rsidRPr="00DF2396">
        <w:rPr>
          <w:rFonts w:asciiTheme="majorBidi" w:hAnsiTheme="majorBidi" w:cstheme="majorBidi"/>
          <w:sz w:val="24"/>
          <w:szCs w:val="24"/>
        </w:rPr>
        <w:t>йсько</w:t>
      </w:r>
      <w:r w:rsidR="00980DE5" w:rsidRPr="00DF2396">
        <w:rPr>
          <w:rFonts w:asciiTheme="majorBidi" w:hAnsiTheme="majorBidi" w:cstheme="majorBidi"/>
          <w:sz w:val="24"/>
          <w:szCs w:val="24"/>
        </w:rPr>
        <w:t xml:space="preserve">ї Федерації проти України. У таких умовах набувають небувалої актуальності питання </w:t>
      </w:r>
      <w:r w:rsidR="00E47CC7" w:rsidRPr="00DF2396">
        <w:rPr>
          <w:rFonts w:asciiTheme="majorBidi" w:hAnsiTheme="majorBidi" w:cstheme="majorBidi"/>
          <w:sz w:val="24"/>
          <w:szCs w:val="24"/>
        </w:rPr>
        <w:t>юрисдикційного зв’язку між обов’язком розслідувати та Державою-Учасницею Конвенції</w:t>
      </w:r>
      <w:r w:rsidR="00E47CC7">
        <w:rPr>
          <w:rFonts w:asciiTheme="majorBidi" w:hAnsiTheme="majorBidi" w:cstheme="majorBidi"/>
          <w:sz w:val="24"/>
          <w:szCs w:val="24"/>
        </w:rPr>
        <w:t xml:space="preserve">, </w:t>
      </w:r>
      <w:r w:rsidR="00E47CC7" w:rsidRPr="00DF2396">
        <w:rPr>
          <w:rFonts w:asciiTheme="majorBidi" w:hAnsiTheme="majorBidi" w:cstheme="majorBidi"/>
          <w:sz w:val="24"/>
          <w:szCs w:val="24"/>
        </w:rPr>
        <w:t xml:space="preserve">спектру порушень, що мають бути розслідувані, </w:t>
      </w:r>
      <w:r w:rsidR="00980DE5" w:rsidRPr="00DF2396">
        <w:rPr>
          <w:rFonts w:asciiTheme="majorBidi" w:hAnsiTheme="majorBidi" w:cstheme="majorBidi"/>
          <w:sz w:val="24"/>
          <w:szCs w:val="24"/>
        </w:rPr>
        <w:t>виникнення обов’язку розслідувати порушення, а також змісту процесуальних зобов’язань у контексті збройного конфлікту.</w:t>
      </w:r>
    </w:p>
    <w:p w:rsidR="00E47CC7" w:rsidRDefault="001C1CFB" w:rsidP="00E47CC7">
      <w:pPr>
        <w:spacing w:after="0" w:line="240" w:lineRule="auto"/>
        <w:ind w:firstLine="567"/>
        <w:jc w:val="both"/>
        <w:outlineLvl w:val="0"/>
        <w:rPr>
          <w:rFonts w:asciiTheme="majorBidi" w:hAnsiTheme="majorBidi" w:cstheme="majorBidi"/>
          <w:b/>
          <w:bCs/>
          <w:sz w:val="24"/>
          <w:szCs w:val="24"/>
        </w:rPr>
      </w:pPr>
      <w:r w:rsidRPr="00DF2396">
        <w:rPr>
          <w:rFonts w:asciiTheme="majorBidi" w:hAnsiTheme="majorBidi" w:cstheme="majorBidi"/>
          <w:b/>
          <w:bCs/>
          <w:sz w:val="24"/>
          <w:szCs w:val="24"/>
        </w:rPr>
        <w:t>Огляд літератури</w:t>
      </w:r>
    </w:p>
    <w:p w:rsidR="001C1CFB" w:rsidRPr="00DF2396" w:rsidRDefault="00980DE5" w:rsidP="00E47CC7">
      <w:pPr>
        <w:spacing w:after="0" w:line="240" w:lineRule="auto"/>
        <w:ind w:firstLine="567"/>
        <w:jc w:val="both"/>
        <w:outlineLvl w:val="0"/>
        <w:rPr>
          <w:rFonts w:asciiTheme="majorBidi" w:hAnsiTheme="majorBidi" w:cstheme="majorBidi"/>
          <w:sz w:val="24"/>
          <w:szCs w:val="24"/>
        </w:rPr>
      </w:pPr>
      <w:r w:rsidRPr="00DF2396">
        <w:rPr>
          <w:rFonts w:asciiTheme="majorBidi" w:hAnsiTheme="majorBidi" w:cstheme="majorBidi"/>
          <w:sz w:val="24"/>
          <w:szCs w:val="24"/>
        </w:rPr>
        <w:t xml:space="preserve">Питанню процесуальних зобов’язань держави за Європейською конвенцією з прав людини було присвячено чимало публікацій різних років видання. У 2017 році було видано науково-методичні рекомендації «Принципи ефективного розслідування відповідно до практики Європейського суду з прав людини» авторства К. </w:t>
      </w:r>
      <w:proofErr w:type="spellStart"/>
      <w:r w:rsidRPr="00DF2396">
        <w:rPr>
          <w:rFonts w:asciiTheme="majorBidi" w:hAnsiTheme="majorBidi" w:cstheme="majorBidi"/>
          <w:sz w:val="24"/>
          <w:szCs w:val="24"/>
        </w:rPr>
        <w:t>Бугайчука</w:t>
      </w:r>
      <w:proofErr w:type="spellEnd"/>
      <w:r w:rsidRPr="00DF2396">
        <w:rPr>
          <w:rFonts w:asciiTheme="majorBidi" w:hAnsiTheme="majorBidi" w:cstheme="majorBidi"/>
          <w:sz w:val="24"/>
          <w:szCs w:val="24"/>
        </w:rPr>
        <w:t>,</w:t>
      </w:r>
      <w:r w:rsidR="00500EBE" w:rsidRPr="00DF2396">
        <w:rPr>
          <w:rFonts w:asciiTheme="majorBidi" w:hAnsiTheme="majorBidi" w:cstheme="majorBidi"/>
          <w:sz w:val="24"/>
          <w:szCs w:val="24"/>
        </w:rPr>
        <w:t xml:space="preserve"> Т. </w:t>
      </w:r>
      <w:r w:rsidRPr="00DF2396">
        <w:rPr>
          <w:rFonts w:asciiTheme="majorBidi" w:hAnsiTheme="majorBidi" w:cstheme="majorBidi"/>
          <w:sz w:val="24"/>
          <w:szCs w:val="24"/>
        </w:rPr>
        <w:t>Малиновської</w:t>
      </w:r>
      <w:r w:rsidR="00500EBE" w:rsidRPr="00DF2396">
        <w:rPr>
          <w:rFonts w:asciiTheme="majorBidi" w:hAnsiTheme="majorBidi" w:cstheme="majorBidi"/>
          <w:sz w:val="24"/>
          <w:szCs w:val="24"/>
        </w:rPr>
        <w:t>,</w:t>
      </w:r>
      <w:r w:rsidRPr="00DF2396">
        <w:rPr>
          <w:rFonts w:asciiTheme="majorBidi" w:hAnsiTheme="majorBidi" w:cstheme="majorBidi"/>
          <w:sz w:val="24"/>
          <w:szCs w:val="24"/>
        </w:rPr>
        <w:t xml:space="preserve"> </w:t>
      </w:r>
      <w:r w:rsidR="00500EBE" w:rsidRPr="00DF2396">
        <w:rPr>
          <w:rFonts w:asciiTheme="majorBidi" w:hAnsiTheme="majorBidi" w:cstheme="majorBidi"/>
          <w:sz w:val="24"/>
          <w:szCs w:val="24"/>
        </w:rPr>
        <w:t>І. </w:t>
      </w:r>
      <w:proofErr w:type="spellStart"/>
      <w:r w:rsidR="00500EBE" w:rsidRPr="00DF2396">
        <w:rPr>
          <w:rFonts w:asciiTheme="majorBidi" w:hAnsiTheme="majorBidi" w:cstheme="majorBidi"/>
          <w:sz w:val="24"/>
          <w:szCs w:val="24"/>
        </w:rPr>
        <w:t>Святокум</w:t>
      </w:r>
      <w:proofErr w:type="spellEnd"/>
      <w:r w:rsidR="00500EBE" w:rsidRPr="00DF2396">
        <w:rPr>
          <w:rFonts w:asciiTheme="majorBidi" w:hAnsiTheme="majorBidi" w:cstheme="majorBidi"/>
          <w:sz w:val="24"/>
          <w:szCs w:val="24"/>
        </w:rPr>
        <w:t xml:space="preserve"> та О. </w:t>
      </w:r>
      <w:proofErr w:type="spellStart"/>
      <w:r w:rsidRPr="00DF2396">
        <w:rPr>
          <w:rFonts w:asciiTheme="majorBidi" w:hAnsiTheme="majorBidi" w:cstheme="majorBidi"/>
          <w:sz w:val="24"/>
          <w:szCs w:val="24"/>
        </w:rPr>
        <w:t>Федосової</w:t>
      </w:r>
      <w:proofErr w:type="spellEnd"/>
      <w:r w:rsidRPr="00DF2396">
        <w:rPr>
          <w:rFonts w:asciiTheme="majorBidi" w:hAnsiTheme="majorBidi" w:cstheme="majorBidi"/>
          <w:sz w:val="24"/>
          <w:szCs w:val="24"/>
        </w:rPr>
        <w:t>, де було розглянуто широкий спектр питань, пов’язаних з ефективністю розслідування. Питання критерії</w:t>
      </w:r>
      <w:r w:rsidR="00500EBE" w:rsidRPr="00DF2396">
        <w:rPr>
          <w:rFonts w:asciiTheme="majorBidi" w:hAnsiTheme="majorBidi" w:cstheme="majorBidi"/>
          <w:sz w:val="24"/>
          <w:szCs w:val="24"/>
        </w:rPr>
        <w:t>в</w:t>
      </w:r>
      <w:r w:rsidRPr="00DF2396">
        <w:rPr>
          <w:rFonts w:asciiTheme="majorBidi" w:hAnsiTheme="majorBidi" w:cstheme="majorBidi"/>
          <w:sz w:val="24"/>
          <w:szCs w:val="24"/>
        </w:rPr>
        <w:t xml:space="preserve"> ефективності розслідування розглядалися і на рівні публікацій в науково-періодичних </w:t>
      </w:r>
      <w:r w:rsidR="00500EBE" w:rsidRPr="00DF2396">
        <w:rPr>
          <w:rFonts w:asciiTheme="majorBidi" w:hAnsiTheme="majorBidi" w:cstheme="majorBidi"/>
          <w:sz w:val="24"/>
          <w:szCs w:val="24"/>
        </w:rPr>
        <w:t>виданнях, зокрема, авторства О. </w:t>
      </w:r>
      <w:proofErr w:type="spellStart"/>
      <w:r w:rsidR="00A2631B">
        <w:rPr>
          <w:rFonts w:asciiTheme="majorBidi" w:hAnsiTheme="majorBidi" w:cstheme="majorBidi"/>
          <w:sz w:val="24"/>
          <w:szCs w:val="24"/>
        </w:rPr>
        <w:t>Кучів</w:t>
      </w:r>
      <w:proofErr w:type="spellEnd"/>
      <w:r w:rsidR="00A2631B">
        <w:rPr>
          <w:rFonts w:asciiTheme="majorBidi" w:hAnsiTheme="majorBidi" w:cstheme="majorBidi"/>
          <w:sz w:val="24"/>
          <w:szCs w:val="24"/>
        </w:rPr>
        <w:t>, С.</w:t>
      </w:r>
      <w:r w:rsidR="00A2631B">
        <w:rPr>
          <w:rFonts w:asciiTheme="majorBidi" w:hAnsiTheme="majorBidi" w:cstheme="majorBidi"/>
          <w:sz w:val="24"/>
          <w:szCs w:val="24"/>
          <w:lang w:val="en-US"/>
        </w:rPr>
        <w:t> </w:t>
      </w:r>
      <w:proofErr w:type="spellStart"/>
      <w:r w:rsidRPr="00DF2396">
        <w:rPr>
          <w:rFonts w:asciiTheme="majorBidi" w:hAnsiTheme="majorBidi" w:cstheme="majorBidi"/>
          <w:sz w:val="24"/>
          <w:szCs w:val="24"/>
        </w:rPr>
        <w:t>Чернобаєва</w:t>
      </w:r>
      <w:proofErr w:type="spellEnd"/>
      <w:r w:rsidRPr="00DF2396">
        <w:rPr>
          <w:rFonts w:asciiTheme="majorBidi" w:hAnsiTheme="majorBidi" w:cstheme="majorBidi"/>
          <w:sz w:val="24"/>
          <w:szCs w:val="24"/>
        </w:rPr>
        <w:t>,</w:t>
      </w:r>
      <w:r w:rsidR="00500EBE" w:rsidRPr="00DF2396">
        <w:rPr>
          <w:rFonts w:asciiTheme="majorBidi" w:hAnsiTheme="majorBidi" w:cstheme="majorBidi"/>
          <w:sz w:val="24"/>
          <w:szCs w:val="24"/>
        </w:rPr>
        <w:t xml:space="preserve"> О. Федорів тощо. </w:t>
      </w:r>
      <w:r w:rsidR="00991B55" w:rsidRPr="00DF2396">
        <w:rPr>
          <w:rFonts w:asciiTheme="majorBidi" w:hAnsiTheme="majorBidi" w:cstheme="majorBidi"/>
          <w:sz w:val="24"/>
          <w:szCs w:val="24"/>
        </w:rPr>
        <w:t>Однак ці дослідження проводилися до початку повномасштабної війни в Україні та не акцентували увагу на особливостях, притаманних проведенню ро</w:t>
      </w:r>
      <w:r w:rsidR="00600AED" w:rsidRPr="00DF2396">
        <w:rPr>
          <w:rFonts w:asciiTheme="majorBidi" w:hAnsiTheme="majorBidi" w:cstheme="majorBidi"/>
          <w:sz w:val="24"/>
          <w:szCs w:val="24"/>
        </w:rPr>
        <w:t>зс</w:t>
      </w:r>
      <w:r w:rsidR="00991B55" w:rsidRPr="00DF2396">
        <w:rPr>
          <w:rFonts w:asciiTheme="majorBidi" w:hAnsiTheme="majorBidi" w:cstheme="majorBidi"/>
          <w:sz w:val="24"/>
          <w:szCs w:val="24"/>
        </w:rPr>
        <w:t xml:space="preserve">лідувань в контексті збройних конфліктів, та, з огляду на час їх проведення, </w:t>
      </w:r>
      <w:r w:rsidR="00991B55" w:rsidRPr="00DF2396">
        <w:rPr>
          <w:rFonts w:asciiTheme="majorBidi" w:hAnsiTheme="majorBidi" w:cstheme="majorBidi"/>
          <w:sz w:val="24"/>
          <w:szCs w:val="24"/>
        </w:rPr>
        <w:lastRenderedPageBreak/>
        <w:t xml:space="preserve">не враховували релевантні рішення Європейського суду з прав людини, </w:t>
      </w:r>
      <w:r w:rsidR="00600AED" w:rsidRPr="00DF2396">
        <w:rPr>
          <w:rFonts w:asciiTheme="majorBidi" w:hAnsiTheme="majorBidi" w:cstheme="majorBidi"/>
          <w:sz w:val="24"/>
          <w:szCs w:val="24"/>
        </w:rPr>
        <w:t>прийняті останніми роками.</w:t>
      </w:r>
    </w:p>
    <w:p w:rsidR="00E47CC7" w:rsidRDefault="001C1CFB" w:rsidP="00E47CC7">
      <w:pPr>
        <w:spacing w:after="0" w:line="240" w:lineRule="auto"/>
        <w:ind w:firstLine="567"/>
        <w:jc w:val="both"/>
        <w:outlineLvl w:val="0"/>
        <w:rPr>
          <w:rFonts w:asciiTheme="majorBidi" w:hAnsiTheme="majorBidi" w:cstheme="majorBidi"/>
          <w:b/>
          <w:bCs/>
          <w:sz w:val="24"/>
          <w:szCs w:val="24"/>
        </w:rPr>
      </w:pPr>
      <w:r w:rsidRPr="00DF2396">
        <w:rPr>
          <w:rFonts w:asciiTheme="majorBidi" w:hAnsiTheme="majorBidi" w:cstheme="majorBidi"/>
          <w:b/>
          <w:bCs/>
          <w:sz w:val="24"/>
          <w:szCs w:val="24"/>
        </w:rPr>
        <w:t>Матеріали та методи</w:t>
      </w:r>
    </w:p>
    <w:p w:rsidR="001C1CFB" w:rsidRPr="00DF2396" w:rsidRDefault="00F562E3" w:rsidP="00437A34">
      <w:pPr>
        <w:spacing w:after="0" w:line="240" w:lineRule="auto"/>
        <w:ind w:firstLine="567"/>
        <w:jc w:val="both"/>
        <w:outlineLvl w:val="0"/>
        <w:rPr>
          <w:rFonts w:asciiTheme="majorBidi" w:hAnsiTheme="majorBidi" w:cstheme="majorBidi"/>
          <w:b/>
          <w:bCs/>
          <w:sz w:val="24"/>
          <w:szCs w:val="24"/>
        </w:rPr>
      </w:pPr>
      <w:r w:rsidRPr="00DF2396">
        <w:rPr>
          <w:rFonts w:asciiTheme="majorBidi" w:hAnsiTheme="majorBidi" w:cstheme="majorBidi"/>
          <w:sz w:val="24"/>
          <w:szCs w:val="24"/>
        </w:rPr>
        <w:t>Дослідження базується на рішеннях Європейського суду з прав людини, де розглядалися питання процесуальних зобов’язань держави, зокрема, у контексті збройних конфліктів. Особливу увагу приділено рішенням Суду у справах Грузія проти Росії</w:t>
      </w:r>
      <w:r w:rsidRPr="00DF2396">
        <w:rPr>
          <w:rFonts w:asciiTheme="majorBidi" w:hAnsiTheme="majorBidi" w:cstheme="majorBidi"/>
          <w:sz w:val="24"/>
          <w:szCs w:val="24"/>
          <w:lang w:val="ru-RU"/>
        </w:rPr>
        <w:t> (</w:t>
      </w:r>
      <w:r w:rsidRPr="00DF2396">
        <w:rPr>
          <w:rFonts w:asciiTheme="majorBidi" w:hAnsiTheme="majorBidi" w:cstheme="majorBidi"/>
          <w:sz w:val="24"/>
          <w:szCs w:val="24"/>
          <w:lang w:val="en-US"/>
        </w:rPr>
        <w:t>II</w:t>
      </w:r>
      <w:r w:rsidRPr="00DF2396">
        <w:rPr>
          <w:rFonts w:asciiTheme="majorBidi" w:hAnsiTheme="majorBidi" w:cstheme="majorBidi"/>
          <w:sz w:val="24"/>
          <w:szCs w:val="24"/>
          <w:lang w:val="ru-RU"/>
        </w:rPr>
        <w:t xml:space="preserve">) та </w:t>
      </w:r>
      <w:proofErr w:type="spellStart"/>
      <w:r w:rsidRPr="00DF2396">
        <w:rPr>
          <w:rFonts w:asciiTheme="majorBidi" w:hAnsiTheme="majorBidi" w:cstheme="majorBidi"/>
          <w:sz w:val="24"/>
          <w:szCs w:val="24"/>
          <w:lang w:val="ru-RU"/>
        </w:rPr>
        <w:t>Ханан</w:t>
      </w:r>
      <w:proofErr w:type="spellEnd"/>
      <w:r w:rsidRPr="00DF2396">
        <w:rPr>
          <w:rFonts w:asciiTheme="majorBidi" w:hAnsiTheme="majorBidi" w:cstheme="majorBidi"/>
          <w:sz w:val="24"/>
          <w:szCs w:val="24"/>
          <w:lang w:val="ru-RU"/>
        </w:rPr>
        <w:t xml:space="preserve"> </w:t>
      </w:r>
      <w:proofErr w:type="spellStart"/>
      <w:r w:rsidRPr="00DF2396">
        <w:rPr>
          <w:rFonts w:asciiTheme="majorBidi" w:hAnsiTheme="majorBidi" w:cstheme="majorBidi"/>
          <w:sz w:val="24"/>
          <w:szCs w:val="24"/>
          <w:lang w:val="ru-RU"/>
        </w:rPr>
        <w:t>проти</w:t>
      </w:r>
      <w:proofErr w:type="spellEnd"/>
      <w:r w:rsidRPr="00DF2396">
        <w:rPr>
          <w:rFonts w:asciiTheme="majorBidi" w:hAnsiTheme="majorBidi" w:cstheme="majorBidi"/>
          <w:sz w:val="24"/>
          <w:szCs w:val="24"/>
          <w:lang w:val="ru-RU"/>
        </w:rPr>
        <w:t xml:space="preserve"> </w:t>
      </w:r>
      <w:proofErr w:type="spellStart"/>
      <w:r w:rsidRPr="00DF2396">
        <w:rPr>
          <w:rFonts w:asciiTheme="majorBidi" w:hAnsiTheme="majorBidi" w:cstheme="majorBidi"/>
          <w:sz w:val="24"/>
          <w:szCs w:val="24"/>
          <w:lang w:val="ru-RU"/>
        </w:rPr>
        <w:t>Німеччини</w:t>
      </w:r>
      <w:proofErr w:type="spellEnd"/>
      <w:r w:rsidR="00437A34">
        <w:rPr>
          <w:rFonts w:asciiTheme="majorBidi" w:hAnsiTheme="majorBidi" w:cstheme="majorBidi"/>
          <w:sz w:val="24"/>
          <w:szCs w:val="24"/>
          <w:lang w:val="ru-RU"/>
        </w:rPr>
        <w:t xml:space="preserve">, </w:t>
      </w:r>
      <w:proofErr w:type="spellStart"/>
      <w:r w:rsidR="00437A34">
        <w:rPr>
          <w:rFonts w:asciiTheme="majorBidi" w:hAnsiTheme="majorBidi" w:cstheme="majorBidi"/>
          <w:sz w:val="24"/>
          <w:szCs w:val="24"/>
          <w:lang w:val="ru-RU"/>
        </w:rPr>
        <w:t>які</w:t>
      </w:r>
      <w:proofErr w:type="spellEnd"/>
      <w:r w:rsidR="00437A34">
        <w:rPr>
          <w:rFonts w:asciiTheme="majorBidi" w:hAnsiTheme="majorBidi" w:cstheme="majorBidi"/>
          <w:sz w:val="24"/>
          <w:szCs w:val="24"/>
          <w:lang w:val="ru-RU"/>
        </w:rPr>
        <w:t xml:space="preserve"> </w:t>
      </w:r>
      <w:proofErr w:type="spellStart"/>
      <w:r w:rsidR="00437A34">
        <w:rPr>
          <w:rFonts w:asciiTheme="majorBidi" w:hAnsiTheme="majorBidi" w:cstheme="majorBidi"/>
          <w:sz w:val="24"/>
          <w:szCs w:val="24"/>
          <w:lang w:val="ru-RU"/>
        </w:rPr>
        <w:t>були</w:t>
      </w:r>
      <w:proofErr w:type="spellEnd"/>
      <w:r w:rsidR="00437A34">
        <w:rPr>
          <w:rFonts w:asciiTheme="majorBidi" w:hAnsiTheme="majorBidi" w:cstheme="majorBidi"/>
          <w:sz w:val="24"/>
          <w:szCs w:val="24"/>
          <w:lang w:val="ru-RU"/>
        </w:rPr>
        <w:t xml:space="preserve"> </w:t>
      </w:r>
      <w:proofErr w:type="spellStart"/>
      <w:r w:rsidR="00437A34">
        <w:rPr>
          <w:rFonts w:asciiTheme="majorBidi" w:hAnsiTheme="majorBidi" w:cstheme="majorBidi"/>
          <w:sz w:val="24"/>
          <w:szCs w:val="24"/>
          <w:lang w:val="ru-RU"/>
        </w:rPr>
        <w:t>винесені</w:t>
      </w:r>
      <w:proofErr w:type="spellEnd"/>
      <w:r w:rsidRPr="00DF2396">
        <w:rPr>
          <w:rFonts w:asciiTheme="majorBidi" w:hAnsiTheme="majorBidi" w:cstheme="majorBidi"/>
          <w:sz w:val="24"/>
          <w:szCs w:val="24"/>
          <w:lang w:val="ru-RU"/>
        </w:rPr>
        <w:t xml:space="preserve"> у 2021 </w:t>
      </w:r>
      <w:proofErr w:type="spellStart"/>
      <w:r w:rsidRPr="00DF2396">
        <w:rPr>
          <w:rFonts w:asciiTheme="majorBidi" w:hAnsiTheme="majorBidi" w:cstheme="majorBidi"/>
          <w:sz w:val="24"/>
          <w:szCs w:val="24"/>
          <w:lang w:val="ru-RU"/>
        </w:rPr>
        <w:t>році</w:t>
      </w:r>
      <w:proofErr w:type="spellEnd"/>
      <w:r w:rsidRPr="00DF2396">
        <w:rPr>
          <w:rFonts w:asciiTheme="majorBidi" w:hAnsiTheme="majorBidi" w:cstheme="majorBidi"/>
          <w:sz w:val="24"/>
          <w:szCs w:val="24"/>
          <w:lang w:val="ru-RU"/>
        </w:rPr>
        <w:t>.</w:t>
      </w:r>
      <w:r w:rsidR="00A95DD2" w:rsidRPr="00DF2396">
        <w:rPr>
          <w:rFonts w:asciiTheme="majorBidi" w:hAnsiTheme="majorBidi" w:cstheme="majorBidi"/>
          <w:sz w:val="24"/>
          <w:szCs w:val="24"/>
        </w:rPr>
        <w:t xml:space="preserve"> Керівництва з застосування статей 2, 3, 4 Конвенції, розроблені Секретаріатом Суду, також були враховані з метою забезпечення належної повноти результатів</w:t>
      </w:r>
      <w:r w:rsidR="00437A34">
        <w:rPr>
          <w:rFonts w:asciiTheme="majorBidi" w:hAnsiTheme="majorBidi" w:cstheme="majorBidi"/>
          <w:sz w:val="24"/>
          <w:szCs w:val="24"/>
        </w:rPr>
        <w:t xml:space="preserve"> дослідження</w:t>
      </w:r>
      <w:r w:rsidR="00A95DD2" w:rsidRPr="00DF2396">
        <w:rPr>
          <w:rFonts w:asciiTheme="majorBidi" w:hAnsiTheme="majorBidi" w:cstheme="majorBidi"/>
          <w:sz w:val="24"/>
          <w:szCs w:val="24"/>
        </w:rPr>
        <w:t xml:space="preserve">. Таким чином, </w:t>
      </w:r>
      <w:r w:rsidR="00437A34">
        <w:rPr>
          <w:rFonts w:asciiTheme="majorBidi" w:hAnsiTheme="majorBidi" w:cstheme="majorBidi"/>
          <w:sz w:val="24"/>
          <w:szCs w:val="24"/>
        </w:rPr>
        <w:t xml:space="preserve">в основу статті </w:t>
      </w:r>
      <w:r w:rsidR="00A95DD2" w:rsidRPr="00DF2396">
        <w:rPr>
          <w:rFonts w:asciiTheme="majorBidi" w:hAnsiTheme="majorBidi" w:cstheme="majorBidi"/>
          <w:sz w:val="24"/>
          <w:szCs w:val="24"/>
        </w:rPr>
        <w:t>покладено метод конкретно-соціологічних досліджень.</w:t>
      </w:r>
    </w:p>
    <w:p w:rsidR="00A5118F" w:rsidRDefault="001C1CFB" w:rsidP="00DF2396">
      <w:pPr>
        <w:spacing w:after="0" w:line="240" w:lineRule="auto"/>
        <w:ind w:firstLine="567"/>
        <w:jc w:val="both"/>
        <w:outlineLvl w:val="0"/>
        <w:rPr>
          <w:rFonts w:asciiTheme="majorBidi" w:hAnsiTheme="majorBidi" w:cstheme="majorBidi"/>
          <w:b/>
          <w:bCs/>
          <w:sz w:val="24"/>
          <w:szCs w:val="24"/>
        </w:rPr>
      </w:pPr>
      <w:r w:rsidRPr="00DF2396">
        <w:rPr>
          <w:rFonts w:asciiTheme="majorBidi" w:hAnsiTheme="majorBidi" w:cstheme="majorBidi"/>
          <w:b/>
          <w:bCs/>
          <w:sz w:val="24"/>
          <w:szCs w:val="24"/>
        </w:rPr>
        <w:t>Результати та обговорення</w:t>
      </w:r>
    </w:p>
    <w:p w:rsidR="001C1CFB" w:rsidRPr="00DF2396" w:rsidRDefault="001B7149" w:rsidP="00DF2396">
      <w:pPr>
        <w:spacing w:after="0" w:line="240" w:lineRule="auto"/>
        <w:ind w:firstLine="567"/>
        <w:jc w:val="both"/>
        <w:outlineLvl w:val="0"/>
        <w:rPr>
          <w:rFonts w:asciiTheme="majorBidi" w:hAnsiTheme="majorBidi" w:cstheme="majorBidi"/>
          <w:sz w:val="24"/>
          <w:szCs w:val="24"/>
        </w:rPr>
      </w:pPr>
      <w:r w:rsidRPr="00DF2396">
        <w:rPr>
          <w:rFonts w:asciiTheme="majorBidi" w:hAnsiTheme="majorBidi" w:cstheme="majorBidi"/>
          <w:sz w:val="24"/>
          <w:szCs w:val="24"/>
        </w:rPr>
        <w:t>Розслідування десятків тисяч злочинів, пов’язаних зі збройною агресію Російської Федерації проти України, повинне відповідати вимогам Європейської конвенції з прав людини, учасницею якої Україна, на відміну від Російської Федерації, продовжує бути. Це означає, що неефективність розслідування може призвести до системних порушень прав людини вже з боку України навіть у випадках, коли Україна не є відповідальною за матеріальний аспект порушень. Перше питання, яке виникає, пов’язане з юрисдикційним зв’язком між Україною як Високою Договірною Стороною Конвенції та порушеннями прав людини, вчинюваними у контексті збройної агресії Російської Федерації, для цілей статті 1 Конвенції.</w:t>
      </w:r>
    </w:p>
    <w:p w:rsidR="001B7149" w:rsidRPr="00901B81" w:rsidRDefault="001B7149" w:rsidP="00901B81">
      <w:pPr>
        <w:spacing w:after="0" w:line="240" w:lineRule="auto"/>
        <w:ind w:firstLine="567"/>
        <w:jc w:val="both"/>
        <w:outlineLvl w:val="0"/>
        <w:rPr>
          <w:rFonts w:asciiTheme="majorBidi" w:hAnsiTheme="majorBidi" w:cstheme="majorBidi"/>
          <w:sz w:val="24"/>
          <w:szCs w:val="24"/>
          <w:lang w:val="ru-RU"/>
        </w:rPr>
      </w:pPr>
      <w:r w:rsidRPr="00DF2396">
        <w:rPr>
          <w:rFonts w:asciiTheme="majorBidi" w:hAnsiTheme="majorBidi" w:cstheme="majorBidi"/>
          <w:i/>
          <w:iCs/>
          <w:sz w:val="24"/>
          <w:szCs w:val="24"/>
        </w:rPr>
        <w:t xml:space="preserve">Юрисдикційний зв'язок. </w:t>
      </w:r>
      <w:r w:rsidRPr="00DF2396">
        <w:rPr>
          <w:rFonts w:asciiTheme="majorBidi" w:hAnsiTheme="majorBidi" w:cstheme="majorBidi"/>
          <w:sz w:val="24"/>
          <w:szCs w:val="24"/>
        </w:rPr>
        <w:t>Суд неодноразово наголошував на тому, що юрисдикція Держав – Учасниць Конвенції за статтею 1 є насамперед територіальною</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rPr>
        <w:t>Al-</w:t>
      </w:r>
      <w:proofErr w:type="spellStart"/>
      <w:r w:rsidR="00A15BD5">
        <w:rPr>
          <w:rFonts w:asciiTheme="majorBidi" w:hAnsiTheme="majorBidi" w:cstheme="majorBidi"/>
          <w:sz w:val="24"/>
          <w:szCs w:val="24"/>
        </w:rPr>
        <w:t>Skeini</w:t>
      </w:r>
      <w:proofErr w:type="spellEnd"/>
      <w:r w:rsidR="00A15BD5">
        <w:rPr>
          <w:rFonts w:asciiTheme="majorBidi" w:hAnsiTheme="majorBidi" w:cstheme="majorBidi"/>
          <w:sz w:val="24"/>
          <w:szCs w:val="24"/>
        </w:rPr>
        <w:t xml:space="preserve"> and Others v. </w:t>
      </w:r>
      <w:proofErr w:type="gramStart"/>
      <w:r w:rsidR="00A15BD5">
        <w:rPr>
          <w:rFonts w:asciiTheme="majorBidi" w:hAnsiTheme="majorBidi" w:cstheme="majorBidi"/>
          <w:sz w:val="24"/>
          <w:szCs w:val="24"/>
          <w:lang w:val="en-US"/>
        </w:rPr>
        <w:t>t</w:t>
      </w:r>
      <w:proofErr w:type="spellStart"/>
      <w:r w:rsidR="00A15BD5" w:rsidRPr="00A15BD5">
        <w:rPr>
          <w:rFonts w:asciiTheme="majorBidi" w:hAnsiTheme="majorBidi" w:cstheme="majorBidi"/>
          <w:sz w:val="24"/>
          <w:szCs w:val="24"/>
        </w:rPr>
        <w:t>he</w:t>
      </w:r>
      <w:proofErr w:type="spellEnd"/>
      <w:proofErr w:type="gramEnd"/>
      <w:r w:rsidR="00A15BD5" w:rsidRPr="00A15BD5">
        <w:rPr>
          <w:rFonts w:asciiTheme="majorBidi" w:hAnsiTheme="majorBidi" w:cstheme="majorBidi"/>
          <w:sz w:val="24"/>
          <w:szCs w:val="24"/>
        </w:rPr>
        <w:t xml:space="preserve"> </w:t>
      </w:r>
      <w:proofErr w:type="spellStart"/>
      <w:r w:rsidR="00A15BD5" w:rsidRPr="00A15BD5">
        <w:rPr>
          <w:rFonts w:asciiTheme="majorBidi" w:hAnsiTheme="majorBidi" w:cstheme="majorBidi"/>
          <w:sz w:val="24"/>
          <w:szCs w:val="24"/>
        </w:rPr>
        <w:t>United</w:t>
      </w:r>
      <w:proofErr w:type="spellEnd"/>
      <w:r w:rsidR="00A15BD5" w:rsidRPr="00A15BD5">
        <w:rPr>
          <w:rFonts w:asciiTheme="majorBidi" w:hAnsiTheme="majorBidi" w:cstheme="majorBidi"/>
          <w:sz w:val="24"/>
          <w:szCs w:val="24"/>
        </w:rPr>
        <w:t xml:space="preserve"> </w:t>
      </w:r>
      <w:proofErr w:type="spellStart"/>
      <w:r w:rsidR="00A15BD5" w:rsidRPr="00A15BD5">
        <w:rPr>
          <w:rFonts w:asciiTheme="majorBidi" w:hAnsiTheme="majorBidi" w:cstheme="majorBidi"/>
          <w:sz w:val="24"/>
          <w:szCs w:val="24"/>
        </w:rPr>
        <w:t>Kingdom</w:t>
      </w:r>
      <w:proofErr w:type="spellEnd"/>
      <w:r w:rsidR="00A15BD5" w:rsidRPr="00A15BD5">
        <w:rPr>
          <w:rFonts w:asciiTheme="majorBidi" w:hAnsiTheme="majorBidi" w:cstheme="majorBidi"/>
          <w:sz w:val="24"/>
          <w:szCs w:val="24"/>
        </w:rPr>
        <w:t xml:space="preserve"> [GC], § 131)</w:t>
      </w:r>
      <w:r w:rsidRPr="00DF2396">
        <w:rPr>
          <w:rFonts w:asciiTheme="majorBidi" w:hAnsiTheme="majorBidi" w:cstheme="majorBidi"/>
          <w:sz w:val="24"/>
          <w:szCs w:val="24"/>
        </w:rPr>
        <w:t>.</w:t>
      </w:r>
      <w:r w:rsidR="00E26D1B" w:rsidRPr="00DF2396">
        <w:rPr>
          <w:rFonts w:asciiTheme="majorBidi" w:hAnsiTheme="majorBidi" w:cstheme="majorBidi"/>
          <w:sz w:val="24"/>
          <w:szCs w:val="24"/>
        </w:rPr>
        <w:t xml:space="preserve"> </w:t>
      </w:r>
      <w:r w:rsidR="007D52A2" w:rsidRPr="00DF2396">
        <w:rPr>
          <w:rFonts w:asciiTheme="majorBidi" w:hAnsiTheme="majorBidi" w:cstheme="majorBidi"/>
          <w:sz w:val="24"/>
          <w:szCs w:val="24"/>
        </w:rPr>
        <w:t xml:space="preserve">Відповідно, зобов’язання Української держави розслідувати порушення прав людини виникає передусім щодо тих порушень, які були вчинені на її території, незалежно від суб’єкта порушення. </w:t>
      </w:r>
      <w:r w:rsidR="009A3685" w:rsidRPr="00DF2396">
        <w:rPr>
          <w:rFonts w:asciiTheme="majorBidi" w:hAnsiTheme="majorBidi" w:cstheme="majorBidi"/>
          <w:sz w:val="24"/>
          <w:szCs w:val="24"/>
        </w:rPr>
        <w:t xml:space="preserve">Виключенням, однак, є випадки, коли внаслідок законних чи незаконних воєнних дій Держава – Учасниця Конвенції втрачає ефективний контроль над частиною своєї території. У справах </w:t>
      </w:r>
      <w:proofErr w:type="spellStart"/>
      <w:r w:rsidR="009A3685" w:rsidRPr="00DF2396">
        <w:rPr>
          <w:rFonts w:asciiTheme="majorBidi" w:hAnsiTheme="majorBidi" w:cstheme="majorBidi"/>
          <w:sz w:val="24"/>
          <w:szCs w:val="24"/>
        </w:rPr>
        <w:t>Катан</w:t>
      </w:r>
      <w:proofErr w:type="spellEnd"/>
      <w:r w:rsidR="009A3685" w:rsidRPr="00DF2396">
        <w:rPr>
          <w:rFonts w:asciiTheme="majorBidi" w:hAnsiTheme="majorBidi" w:cstheme="majorBidi"/>
          <w:sz w:val="24"/>
          <w:szCs w:val="24"/>
        </w:rPr>
        <w:t xml:space="preserve"> та Інші проти Республіки Молдова та Росії, Ілашку та Інші проти Молдови та Росії, </w:t>
      </w:r>
      <w:proofErr w:type="spellStart"/>
      <w:r w:rsidR="009A3685" w:rsidRPr="00DF2396">
        <w:rPr>
          <w:rFonts w:asciiTheme="majorBidi" w:hAnsiTheme="majorBidi" w:cstheme="majorBidi"/>
          <w:sz w:val="24"/>
          <w:szCs w:val="24"/>
        </w:rPr>
        <w:t>Мозер</w:t>
      </w:r>
      <w:proofErr w:type="spellEnd"/>
      <w:r w:rsidR="009A3685" w:rsidRPr="00DF2396">
        <w:rPr>
          <w:rFonts w:asciiTheme="majorBidi" w:hAnsiTheme="majorBidi" w:cstheme="majorBidi"/>
          <w:sz w:val="24"/>
          <w:szCs w:val="24"/>
        </w:rPr>
        <w:t xml:space="preserve"> проти Республіки Молдова та Росії Європейський суд з прав людини послідовно наголошував на тому, що на частині території, яка тимчасово не контролюється Державою-Учасницею, остання все одно продовжує здійснювати юрисдикцію, яка однак, обмежується зобов’язанням «вживати дипломатичних, економічних, судових чи інших заходів, які були в її повноваженнях і у відповідності з міжнародним правом»</w:t>
      </w:r>
      <w:r w:rsidR="00901B81" w:rsidRPr="00901B81">
        <w:rPr>
          <w:rFonts w:asciiTheme="majorBidi" w:hAnsiTheme="majorBidi" w:cstheme="majorBidi"/>
          <w:sz w:val="24"/>
          <w:szCs w:val="24"/>
        </w:rPr>
        <w:t xml:space="preserve"> (</w:t>
      </w:r>
      <w:proofErr w:type="spellStart"/>
      <w:r w:rsidR="00901B81">
        <w:rPr>
          <w:rFonts w:asciiTheme="majorBidi" w:hAnsiTheme="majorBidi" w:cstheme="majorBidi"/>
          <w:sz w:val="24"/>
          <w:szCs w:val="24"/>
          <w:lang w:val="en-US"/>
        </w:rPr>
        <w:t>Mozer</w:t>
      </w:r>
      <w:proofErr w:type="spellEnd"/>
      <w:r w:rsidR="00901B81" w:rsidRPr="00901B81">
        <w:rPr>
          <w:rFonts w:asciiTheme="majorBidi" w:hAnsiTheme="majorBidi" w:cstheme="majorBidi"/>
          <w:sz w:val="24"/>
          <w:szCs w:val="24"/>
        </w:rPr>
        <w:t xml:space="preserve"> </w:t>
      </w:r>
      <w:r w:rsidR="00901B81">
        <w:rPr>
          <w:rFonts w:asciiTheme="majorBidi" w:hAnsiTheme="majorBidi" w:cstheme="majorBidi"/>
          <w:sz w:val="24"/>
          <w:szCs w:val="24"/>
          <w:lang w:val="en-US"/>
        </w:rPr>
        <w:t>v</w:t>
      </w:r>
      <w:r w:rsidR="00901B81" w:rsidRPr="00901B81">
        <w:rPr>
          <w:rFonts w:asciiTheme="majorBidi" w:hAnsiTheme="majorBidi" w:cstheme="majorBidi"/>
          <w:sz w:val="24"/>
          <w:szCs w:val="24"/>
        </w:rPr>
        <w:t xml:space="preserve">. </w:t>
      </w:r>
      <w:proofErr w:type="gramStart"/>
      <w:r w:rsidR="00901B81">
        <w:rPr>
          <w:rFonts w:asciiTheme="majorBidi" w:hAnsiTheme="majorBidi" w:cstheme="majorBidi"/>
          <w:sz w:val="24"/>
          <w:szCs w:val="24"/>
          <w:lang w:val="en-US"/>
        </w:rPr>
        <w:t>t</w:t>
      </w:r>
      <w:r w:rsidR="00901B81" w:rsidRPr="00DF2396">
        <w:rPr>
          <w:rFonts w:asciiTheme="majorBidi" w:hAnsiTheme="majorBidi" w:cstheme="majorBidi"/>
          <w:sz w:val="24"/>
          <w:szCs w:val="24"/>
          <w:lang w:val="en-US"/>
        </w:rPr>
        <w:t>he</w:t>
      </w:r>
      <w:proofErr w:type="gramEnd"/>
      <w:r w:rsidR="00901B81" w:rsidRPr="00901B81">
        <w:rPr>
          <w:rFonts w:asciiTheme="majorBidi" w:hAnsiTheme="majorBidi" w:cstheme="majorBidi"/>
          <w:sz w:val="24"/>
          <w:szCs w:val="24"/>
        </w:rPr>
        <w:t xml:space="preserve"> </w:t>
      </w:r>
      <w:r w:rsidR="00901B81" w:rsidRPr="00DF2396">
        <w:rPr>
          <w:rFonts w:asciiTheme="majorBidi" w:hAnsiTheme="majorBidi" w:cstheme="majorBidi"/>
          <w:sz w:val="24"/>
          <w:szCs w:val="24"/>
          <w:lang w:val="en-US"/>
        </w:rPr>
        <w:t>Republic</w:t>
      </w:r>
      <w:r w:rsidR="00901B81" w:rsidRPr="00901B81">
        <w:rPr>
          <w:rFonts w:asciiTheme="majorBidi" w:hAnsiTheme="majorBidi" w:cstheme="majorBidi"/>
          <w:sz w:val="24"/>
          <w:szCs w:val="24"/>
        </w:rPr>
        <w:t xml:space="preserve"> </w:t>
      </w:r>
      <w:r w:rsidR="00901B81" w:rsidRPr="00DF2396">
        <w:rPr>
          <w:rFonts w:asciiTheme="majorBidi" w:hAnsiTheme="majorBidi" w:cstheme="majorBidi"/>
          <w:sz w:val="24"/>
          <w:szCs w:val="24"/>
          <w:lang w:val="en-US"/>
        </w:rPr>
        <w:t>of</w:t>
      </w:r>
      <w:r w:rsidR="00901B81" w:rsidRPr="00901B81">
        <w:rPr>
          <w:rFonts w:asciiTheme="majorBidi" w:hAnsiTheme="majorBidi" w:cstheme="majorBidi"/>
          <w:sz w:val="24"/>
          <w:szCs w:val="24"/>
        </w:rPr>
        <w:t xml:space="preserve"> </w:t>
      </w:r>
      <w:r w:rsidR="00901B81" w:rsidRPr="00DF2396">
        <w:rPr>
          <w:rFonts w:asciiTheme="majorBidi" w:hAnsiTheme="majorBidi" w:cstheme="majorBidi"/>
          <w:sz w:val="24"/>
          <w:szCs w:val="24"/>
          <w:lang w:val="en-US"/>
        </w:rPr>
        <w:t>Moldova</w:t>
      </w:r>
      <w:r w:rsidR="00901B81" w:rsidRPr="00901B81">
        <w:rPr>
          <w:rFonts w:asciiTheme="majorBidi" w:hAnsiTheme="majorBidi" w:cstheme="majorBidi"/>
          <w:sz w:val="24"/>
          <w:szCs w:val="24"/>
        </w:rPr>
        <w:t xml:space="preserve"> </w:t>
      </w:r>
      <w:r w:rsidR="00901B81" w:rsidRPr="00DF2396">
        <w:rPr>
          <w:rFonts w:asciiTheme="majorBidi" w:hAnsiTheme="majorBidi" w:cstheme="majorBidi"/>
          <w:sz w:val="24"/>
          <w:szCs w:val="24"/>
          <w:lang w:val="en-US"/>
        </w:rPr>
        <w:t>and</w:t>
      </w:r>
      <w:r w:rsidR="00901B81" w:rsidRPr="00901B81">
        <w:rPr>
          <w:rFonts w:asciiTheme="majorBidi" w:hAnsiTheme="majorBidi" w:cstheme="majorBidi"/>
          <w:sz w:val="24"/>
          <w:szCs w:val="24"/>
        </w:rPr>
        <w:t xml:space="preserve"> </w:t>
      </w:r>
      <w:r w:rsidR="00901B81" w:rsidRPr="00DF2396">
        <w:rPr>
          <w:rFonts w:asciiTheme="majorBidi" w:hAnsiTheme="majorBidi" w:cstheme="majorBidi"/>
          <w:sz w:val="24"/>
          <w:szCs w:val="24"/>
          <w:lang w:val="en-US"/>
        </w:rPr>
        <w:t>Russia</w:t>
      </w:r>
      <w:r w:rsidR="00901B81" w:rsidRPr="00901B81">
        <w:rPr>
          <w:rFonts w:asciiTheme="majorBidi" w:hAnsiTheme="majorBidi" w:cstheme="majorBidi"/>
          <w:sz w:val="24"/>
          <w:szCs w:val="24"/>
        </w:rPr>
        <w:t xml:space="preserve"> [</w:t>
      </w:r>
      <w:r w:rsidR="00901B81">
        <w:rPr>
          <w:rFonts w:asciiTheme="majorBidi" w:hAnsiTheme="majorBidi" w:cstheme="majorBidi"/>
          <w:sz w:val="24"/>
          <w:szCs w:val="24"/>
          <w:lang w:val="en-US"/>
        </w:rPr>
        <w:t>GC</w:t>
      </w:r>
      <w:r w:rsidR="00901B81" w:rsidRPr="00901B81">
        <w:rPr>
          <w:rFonts w:asciiTheme="majorBidi" w:hAnsiTheme="majorBidi" w:cstheme="majorBidi"/>
          <w:sz w:val="24"/>
          <w:szCs w:val="24"/>
        </w:rPr>
        <w:t>], §</w:t>
      </w:r>
      <w:r w:rsidR="00901B81">
        <w:rPr>
          <w:rFonts w:asciiTheme="majorBidi" w:hAnsiTheme="majorBidi" w:cstheme="majorBidi"/>
          <w:sz w:val="24"/>
          <w:szCs w:val="24"/>
          <w:lang w:val="en-US"/>
        </w:rPr>
        <w:t> </w:t>
      </w:r>
      <w:r w:rsidR="00901B81" w:rsidRPr="00901B81">
        <w:rPr>
          <w:rFonts w:asciiTheme="majorBidi" w:hAnsiTheme="majorBidi" w:cstheme="majorBidi"/>
          <w:sz w:val="24"/>
          <w:szCs w:val="24"/>
        </w:rPr>
        <w:t>99)</w:t>
      </w:r>
      <w:r w:rsidR="009A3685" w:rsidRPr="00DF2396">
        <w:rPr>
          <w:rFonts w:asciiTheme="majorBidi" w:hAnsiTheme="majorBidi" w:cstheme="majorBidi"/>
          <w:sz w:val="24"/>
          <w:szCs w:val="24"/>
        </w:rPr>
        <w:t>.</w:t>
      </w:r>
      <w:r w:rsidR="008372F0" w:rsidRPr="00DF2396">
        <w:rPr>
          <w:rFonts w:asciiTheme="majorBidi" w:hAnsiTheme="majorBidi" w:cstheme="majorBidi"/>
          <w:sz w:val="24"/>
          <w:szCs w:val="24"/>
        </w:rPr>
        <w:t xml:space="preserve"> Варто, однак, зазначити, що у цих справах питання процесуальних зобов’язань Молдови не піднімалося, тому у Суду не було нагоди більш детально роз’яснити щодо обсягу і характеру процесуальних зобов’язань Держави</w:t>
      </w:r>
      <w:r w:rsidR="00901B81" w:rsidRPr="00901B81">
        <w:rPr>
          <w:rFonts w:asciiTheme="majorBidi" w:hAnsiTheme="majorBidi" w:cstheme="majorBidi"/>
          <w:sz w:val="24"/>
          <w:szCs w:val="24"/>
          <w:lang w:val="ru-RU"/>
        </w:rPr>
        <w:t>-</w:t>
      </w:r>
      <w:r w:rsidR="008372F0" w:rsidRPr="00DF2396">
        <w:rPr>
          <w:rFonts w:asciiTheme="majorBidi" w:hAnsiTheme="majorBidi" w:cstheme="majorBidi"/>
          <w:sz w:val="24"/>
          <w:szCs w:val="24"/>
        </w:rPr>
        <w:t>Учасниці Конвенції у випадку вчинення порушення на території, яку вона тимчасово не контролює.</w:t>
      </w:r>
    </w:p>
    <w:p w:rsidR="004D33D2" w:rsidRPr="00DF2396" w:rsidRDefault="004D33D2" w:rsidP="00B90863">
      <w:pPr>
        <w:spacing w:after="0" w:line="240" w:lineRule="auto"/>
        <w:ind w:firstLine="567"/>
        <w:jc w:val="both"/>
        <w:outlineLvl w:val="0"/>
        <w:rPr>
          <w:rFonts w:asciiTheme="majorBidi" w:hAnsiTheme="majorBidi" w:cstheme="majorBidi"/>
          <w:sz w:val="24"/>
          <w:szCs w:val="24"/>
        </w:rPr>
      </w:pPr>
      <w:r w:rsidRPr="00DF2396">
        <w:rPr>
          <w:rFonts w:asciiTheme="majorBidi" w:hAnsiTheme="majorBidi" w:cstheme="majorBidi"/>
          <w:sz w:val="24"/>
          <w:szCs w:val="24"/>
        </w:rPr>
        <w:t>Юрисдикційний зв'язок між порушенням та Державою – Учасницею Конвенції для цілей статті 1 Конвенції у виключних випадках може виникнути і тоді, коли порушення вчинено за межами території Держави-Учасниці Конвенції. Для цілей цього дослідження можна виокремити</w:t>
      </w:r>
      <w:r w:rsidR="000930FE" w:rsidRPr="00DF2396">
        <w:rPr>
          <w:rFonts w:asciiTheme="majorBidi" w:hAnsiTheme="majorBidi" w:cstheme="majorBidi"/>
          <w:sz w:val="24"/>
          <w:szCs w:val="24"/>
        </w:rPr>
        <w:t xml:space="preserve"> випадок</w:t>
      </w:r>
      <w:r w:rsidRPr="00DF2396">
        <w:rPr>
          <w:rFonts w:asciiTheme="majorBidi" w:hAnsiTheme="majorBidi" w:cstheme="majorBidi"/>
          <w:sz w:val="24"/>
          <w:szCs w:val="24"/>
        </w:rPr>
        <w:t xml:space="preserve"> використання сили агентами Держави, які діють за межами її території, що може помістити особу під контроль органів влади такої Держави, утворюючи тим самим юрисдикційний зв'язок для цілей статті 1 Конвенції</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rPr>
        <w:t xml:space="preserve">Al-Skeini </w:t>
      </w:r>
      <w:proofErr w:type="spellStart"/>
      <w:r w:rsidR="00A15BD5">
        <w:rPr>
          <w:rFonts w:asciiTheme="majorBidi" w:hAnsiTheme="majorBidi" w:cstheme="majorBidi"/>
          <w:sz w:val="24"/>
          <w:szCs w:val="24"/>
        </w:rPr>
        <w:t>and</w:t>
      </w:r>
      <w:proofErr w:type="spellEnd"/>
      <w:r w:rsidR="00A15BD5">
        <w:rPr>
          <w:rFonts w:asciiTheme="majorBidi" w:hAnsiTheme="majorBidi" w:cstheme="majorBidi"/>
          <w:sz w:val="24"/>
          <w:szCs w:val="24"/>
        </w:rPr>
        <w:t xml:space="preserve"> </w:t>
      </w:r>
      <w:proofErr w:type="spellStart"/>
      <w:r w:rsidR="00A15BD5">
        <w:rPr>
          <w:rFonts w:asciiTheme="majorBidi" w:hAnsiTheme="majorBidi" w:cstheme="majorBidi"/>
          <w:sz w:val="24"/>
          <w:szCs w:val="24"/>
        </w:rPr>
        <w:t>Others</w:t>
      </w:r>
      <w:proofErr w:type="spellEnd"/>
      <w:r w:rsidR="00A15BD5">
        <w:rPr>
          <w:rFonts w:asciiTheme="majorBidi" w:hAnsiTheme="majorBidi" w:cstheme="majorBidi"/>
          <w:sz w:val="24"/>
          <w:szCs w:val="24"/>
        </w:rPr>
        <w:t xml:space="preserve"> v. </w:t>
      </w:r>
      <w:proofErr w:type="gramStart"/>
      <w:r w:rsidR="00A15BD5">
        <w:rPr>
          <w:rFonts w:asciiTheme="majorBidi" w:hAnsiTheme="majorBidi" w:cstheme="majorBidi"/>
          <w:sz w:val="24"/>
          <w:szCs w:val="24"/>
          <w:lang w:val="en-US"/>
        </w:rPr>
        <w:t>t</w:t>
      </w:r>
      <w:proofErr w:type="spellStart"/>
      <w:r w:rsidR="00901B81">
        <w:rPr>
          <w:rFonts w:asciiTheme="majorBidi" w:hAnsiTheme="majorBidi" w:cstheme="majorBidi"/>
          <w:sz w:val="24"/>
          <w:szCs w:val="24"/>
        </w:rPr>
        <w:t>he</w:t>
      </w:r>
      <w:proofErr w:type="spellEnd"/>
      <w:proofErr w:type="gramEnd"/>
      <w:r w:rsidR="00901B81">
        <w:rPr>
          <w:rFonts w:asciiTheme="majorBidi" w:hAnsiTheme="majorBidi" w:cstheme="majorBidi"/>
          <w:sz w:val="24"/>
          <w:szCs w:val="24"/>
          <w:lang w:val="en-US"/>
        </w:rPr>
        <w:t> </w:t>
      </w:r>
      <w:proofErr w:type="spellStart"/>
      <w:r w:rsidR="00A15BD5" w:rsidRPr="00A15BD5">
        <w:rPr>
          <w:rFonts w:asciiTheme="majorBidi" w:hAnsiTheme="majorBidi" w:cstheme="majorBidi"/>
          <w:sz w:val="24"/>
          <w:szCs w:val="24"/>
        </w:rPr>
        <w:t>United</w:t>
      </w:r>
      <w:proofErr w:type="spellEnd"/>
      <w:r w:rsidR="00901B81">
        <w:rPr>
          <w:rFonts w:asciiTheme="majorBidi" w:hAnsiTheme="majorBidi" w:cstheme="majorBidi"/>
          <w:sz w:val="24"/>
          <w:szCs w:val="24"/>
          <w:lang w:val="en-US"/>
        </w:rPr>
        <w:t> </w:t>
      </w:r>
      <w:proofErr w:type="spellStart"/>
      <w:r w:rsidR="00A15BD5" w:rsidRPr="00A15BD5">
        <w:rPr>
          <w:rFonts w:asciiTheme="majorBidi" w:hAnsiTheme="majorBidi" w:cstheme="majorBidi"/>
          <w:sz w:val="24"/>
          <w:szCs w:val="24"/>
        </w:rPr>
        <w:t>Kingdom</w:t>
      </w:r>
      <w:proofErr w:type="spellEnd"/>
      <w:r w:rsidR="00A15BD5" w:rsidRPr="00A15BD5">
        <w:rPr>
          <w:rFonts w:asciiTheme="majorBidi" w:hAnsiTheme="majorBidi" w:cstheme="majorBidi"/>
          <w:sz w:val="24"/>
          <w:szCs w:val="24"/>
        </w:rPr>
        <w:t xml:space="preserve"> [GC], §</w:t>
      </w:r>
      <w:r w:rsidR="00901B81">
        <w:rPr>
          <w:rFonts w:asciiTheme="majorBidi" w:hAnsiTheme="majorBidi" w:cstheme="majorBidi"/>
          <w:sz w:val="24"/>
          <w:szCs w:val="24"/>
          <w:lang w:val="en-US"/>
        </w:rPr>
        <w:t> </w:t>
      </w:r>
      <w:r w:rsidR="00A15BD5" w:rsidRPr="00A15BD5">
        <w:rPr>
          <w:rFonts w:asciiTheme="majorBidi" w:hAnsiTheme="majorBidi" w:cstheme="majorBidi"/>
          <w:sz w:val="24"/>
          <w:szCs w:val="24"/>
        </w:rPr>
        <w:t xml:space="preserve">136; </w:t>
      </w:r>
      <w:r w:rsidR="00901B81">
        <w:rPr>
          <w:rFonts w:asciiTheme="majorBidi" w:hAnsiTheme="majorBidi" w:cstheme="majorBidi"/>
          <w:sz w:val="24"/>
          <w:szCs w:val="24"/>
          <w:lang w:val="en-US"/>
        </w:rPr>
        <w:t>Georgia</w:t>
      </w:r>
      <w:r w:rsidR="00901B81" w:rsidRPr="00901B81">
        <w:rPr>
          <w:rFonts w:asciiTheme="majorBidi" w:hAnsiTheme="majorBidi" w:cstheme="majorBidi"/>
          <w:sz w:val="24"/>
          <w:szCs w:val="24"/>
        </w:rPr>
        <w:t xml:space="preserve"> </w:t>
      </w:r>
      <w:r w:rsidR="00901B81">
        <w:rPr>
          <w:rFonts w:asciiTheme="majorBidi" w:hAnsiTheme="majorBidi" w:cstheme="majorBidi"/>
          <w:sz w:val="24"/>
          <w:szCs w:val="24"/>
          <w:lang w:val="en-US"/>
        </w:rPr>
        <w:t>v</w:t>
      </w:r>
      <w:r w:rsidR="00901B81" w:rsidRPr="00901B81">
        <w:rPr>
          <w:rFonts w:asciiTheme="majorBidi" w:hAnsiTheme="majorBidi" w:cstheme="majorBidi"/>
          <w:sz w:val="24"/>
          <w:szCs w:val="24"/>
        </w:rPr>
        <w:t xml:space="preserve">. </w:t>
      </w:r>
      <w:r w:rsidR="00901B81">
        <w:rPr>
          <w:rFonts w:asciiTheme="majorBidi" w:hAnsiTheme="majorBidi" w:cstheme="majorBidi"/>
          <w:sz w:val="24"/>
          <w:szCs w:val="24"/>
          <w:lang w:val="en-US"/>
        </w:rPr>
        <w:t>Russia</w:t>
      </w:r>
      <w:r w:rsidR="00901B81" w:rsidRPr="00901B81">
        <w:rPr>
          <w:rFonts w:asciiTheme="majorBidi" w:hAnsiTheme="majorBidi" w:cstheme="majorBidi"/>
          <w:sz w:val="24"/>
          <w:szCs w:val="24"/>
        </w:rPr>
        <w:t xml:space="preserve"> (</w:t>
      </w:r>
      <w:r w:rsidR="00901B81">
        <w:rPr>
          <w:rFonts w:asciiTheme="majorBidi" w:hAnsiTheme="majorBidi" w:cstheme="majorBidi"/>
          <w:sz w:val="24"/>
          <w:szCs w:val="24"/>
          <w:lang w:val="en-US"/>
        </w:rPr>
        <w:t>II</w:t>
      </w:r>
      <w:r w:rsidR="00901B81" w:rsidRPr="00901B81">
        <w:rPr>
          <w:rFonts w:asciiTheme="majorBidi" w:hAnsiTheme="majorBidi" w:cstheme="majorBidi"/>
          <w:sz w:val="24"/>
          <w:szCs w:val="24"/>
        </w:rPr>
        <w:t>), § 81)</w:t>
      </w:r>
      <w:r w:rsidRPr="00DF2396">
        <w:rPr>
          <w:rFonts w:asciiTheme="majorBidi" w:hAnsiTheme="majorBidi" w:cstheme="majorBidi"/>
          <w:sz w:val="24"/>
          <w:szCs w:val="24"/>
        </w:rPr>
        <w:t xml:space="preserve">. </w:t>
      </w:r>
      <w:r w:rsidR="00072CC4" w:rsidRPr="00DF2396">
        <w:rPr>
          <w:rFonts w:asciiTheme="majorBidi" w:hAnsiTheme="majorBidi" w:cstheme="majorBidi"/>
          <w:sz w:val="24"/>
          <w:szCs w:val="24"/>
        </w:rPr>
        <w:t xml:space="preserve">У справі </w:t>
      </w:r>
      <w:proofErr w:type="spellStart"/>
      <w:r w:rsidR="00072CC4" w:rsidRPr="00DF2396">
        <w:rPr>
          <w:rFonts w:asciiTheme="majorBidi" w:hAnsiTheme="majorBidi" w:cstheme="majorBidi"/>
          <w:sz w:val="24"/>
          <w:szCs w:val="24"/>
        </w:rPr>
        <w:t>Гюзелюртлу</w:t>
      </w:r>
      <w:proofErr w:type="spellEnd"/>
      <w:r w:rsidR="00072CC4" w:rsidRPr="00DF2396">
        <w:rPr>
          <w:rFonts w:asciiTheme="majorBidi" w:hAnsiTheme="majorBidi" w:cstheme="majorBidi"/>
          <w:sz w:val="24"/>
          <w:szCs w:val="24"/>
        </w:rPr>
        <w:t xml:space="preserve"> та Інші проти Кіпру та Туреччини Суд </w:t>
      </w:r>
      <w:r w:rsidR="001E1F62" w:rsidRPr="00DF2396">
        <w:rPr>
          <w:rFonts w:asciiTheme="majorBidi" w:hAnsiTheme="majorBidi" w:cstheme="majorBidi"/>
          <w:sz w:val="24"/>
          <w:szCs w:val="24"/>
        </w:rPr>
        <w:t xml:space="preserve">, де йшлося про порушення статті 2 Конвенції, </w:t>
      </w:r>
      <w:r w:rsidR="00072CC4" w:rsidRPr="00DF2396">
        <w:rPr>
          <w:rFonts w:asciiTheme="majorBidi" w:hAnsiTheme="majorBidi" w:cstheme="majorBidi"/>
          <w:sz w:val="24"/>
          <w:szCs w:val="24"/>
        </w:rPr>
        <w:t>дійшов висновку, що «якщо слідчі або судові органи Договірної Держави порушують власне кримінальне розслідування або провадження щодо смерті, яка сталася за межами юрисдикції цієї Держави, в силу їх національного законодавства (наприклад, згідно з положеннями про універсальну юрисдикцію або на підставі активного чи пасивного персонального принципу), порушення такого розслідування або такого провадження є достатнім для встановлення юрисдикційного зв’язку для цілей статті 1 між цією державою та родичами жертви»</w:t>
      </w:r>
      <w:r w:rsidR="00B90863" w:rsidRPr="00B90863">
        <w:rPr>
          <w:rFonts w:asciiTheme="majorBidi" w:hAnsiTheme="majorBidi" w:cstheme="majorBidi"/>
          <w:sz w:val="24"/>
          <w:szCs w:val="24"/>
        </w:rPr>
        <w:t xml:space="preserve"> (Gü</w:t>
      </w:r>
      <w:proofErr w:type="spellStart"/>
      <w:r w:rsidR="00B90863" w:rsidRPr="00B90863">
        <w:rPr>
          <w:rFonts w:asciiTheme="majorBidi" w:hAnsiTheme="majorBidi" w:cstheme="majorBidi"/>
          <w:sz w:val="24"/>
          <w:szCs w:val="24"/>
        </w:rPr>
        <w:t>zelyurtlu</w:t>
      </w:r>
      <w:proofErr w:type="spellEnd"/>
      <w:r w:rsidR="00B90863" w:rsidRPr="00B90863">
        <w:rPr>
          <w:rFonts w:asciiTheme="majorBidi" w:hAnsiTheme="majorBidi" w:cstheme="majorBidi"/>
          <w:sz w:val="24"/>
          <w:szCs w:val="24"/>
        </w:rPr>
        <w:t xml:space="preserve"> and Others v. </w:t>
      </w:r>
      <w:proofErr w:type="gramStart"/>
      <w:r w:rsidR="00B90863" w:rsidRPr="00B90863">
        <w:rPr>
          <w:rFonts w:asciiTheme="majorBidi" w:hAnsiTheme="majorBidi" w:cstheme="majorBidi"/>
          <w:sz w:val="24"/>
          <w:szCs w:val="24"/>
        </w:rPr>
        <w:t>Cyprus and Turkey [GC], § 188)</w:t>
      </w:r>
      <w:r w:rsidR="00072CC4" w:rsidRPr="00DF2396">
        <w:rPr>
          <w:rFonts w:asciiTheme="majorBidi" w:hAnsiTheme="majorBidi" w:cstheme="majorBidi"/>
          <w:sz w:val="24"/>
          <w:szCs w:val="24"/>
        </w:rPr>
        <w:t>.</w:t>
      </w:r>
      <w:proofErr w:type="gramEnd"/>
      <w:r w:rsidR="00072CC4" w:rsidRPr="00DF2396">
        <w:rPr>
          <w:rFonts w:asciiTheme="majorBidi" w:hAnsiTheme="majorBidi" w:cstheme="majorBidi"/>
          <w:sz w:val="24"/>
          <w:szCs w:val="24"/>
        </w:rPr>
        <w:t xml:space="preserve"> Варто, однак, зазначити, що у </w:t>
      </w:r>
      <w:r w:rsidR="00072CC4" w:rsidRPr="00DF2396">
        <w:rPr>
          <w:rFonts w:asciiTheme="majorBidi" w:hAnsiTheme="majorBidi" w:cstheme="majorBidi"/>
          <w:sz w:val="24"/>
          <w:szCs w:val="24"/>
        </w:rPr>
        <w:lastRenderedPageBreak/>
        <w:t xml:space="preserve">пізнішій справі </w:t>
      </w:r>
      <w:proofErr w:type="spellStart"/>
      <w:r w:rsidR="00072CC4" w:rsidRPr="00DF2396">
        <w:rPr>
          <w:rFonts w:asciiTheme="majorBidi" w:hAnsiTheme="majorBidi" w:cstheme="majorBidi"/>
          <w:sz w:val="24"/>
          <w:szCs w:val="24"/>
        </w:rPr>
        <w:t>Ха</w:t>
      </w:r>
      <w:r w:rsidR="001E1F62" w:rsidRPr="00DF2396">
        <w:rPr>
          <w:rFonts w:asciiTheme="majorBidi" w:hAnsiTheme="majorBidi" w:cstheme="majorBidi"/>
          <w:sz w:val="24"/>
          <w:szCs w:val="24"/>
        </w:rPr>
        <w:t>нан</w:t>
      </w:r>
      <w:proofErr w:type="spellEnd"/>
      <w:r w:rsidR="001E1F62" w:rsidRPr="00DF2396">
        <w:rPr>
          <w:rFonts w:asciiTheme="majorBidi" w:hAnsiTheme="majorBidi" w:cstheme="majorBidi"/>
          <w:sz w:val="24"/>
          <w:szCs w:val="24"/>
        </w:rPr>
        <w:t xml:space="preserve"> проти Німеччини Суд уточнив, що порушення кримінального розслідування як самостійна підстава встановлення юрисдикційного зв’язку між смертю, яка сталася за межами території Держави та за межами територій, які ця Держава контролює, та </w:t>
      </w:r>
      <w:r w:rsidR="00A446C2" w:rsidRPr="00DF2396">
        <w:rPr>
          <w:rFonts w:asciiTheme="majorBidi" w:hAnsiTheme="majorBidi" w:cstheme="majorBidi"/>
          <w:sz w:val="24"/>
          <w:szCs w:val="24"/>
        </w:rPr>
        <w:t>зобов’язанням цієї Держави розслідувати таке порушення</w:t>
      </w:r>
      <w:r w:rsidR="001E1F62" w:rsidRPr="00DF2396">
        <w:rPr>
          <w:rFonts w:asciiTheme="majorBidi" w:hAnsiTheme="majorBidi" w:cstheme="majorBidi"/>
          <w:sz w:val="24"/>
          <w:szCs w:val="24"/>
        </w:rPr>
        <w:t xml:space="preserve">, має застосуватися </w:t>
      </w:r>
      <w:r w:rsidR="00A01F5C" w:rsidRPr="00DF2396">
        <w:rPr>
          <w:rFonts w:asciiTheme="majorBidi" w:hAnsiTheme="majorBidi" w:cstheme="majorBidi"/>
          <w:sz w:val="24"/>
          <w:szCs w:val="24"/>
        </w:rPr>
        <w:t xml:space="preserve">тільки </w:t>
      </w:r>
      <w:r w:rsidR="001E1F62" w:rsidRPr="00DF2396">
        <w:rPr>
          <w:rFonts w:asciiTheme="majorBidi" w:hAnsiTheme="majorBidi" w:cstheme="majorBidi"/>
          <w:sz w:val="24"/>
          <w:szCs w:val="24"/>
        </w:rPr>
        <w:t>за наявності «особливих ознак» у справі</w:t>
      </w:r>
      <w:r w:rsidR="00A2631B" w:rsidRPr="00A2631B">
        <w:rPr>
          <w:rFonts w:asciiTheme="majorBidi" w:hAnsiTheme="majorBidi" w:cstheme="majorBidi"/>
          <w:sz w:val="24"/>
          <w:szCs w:val="24"/>
        </w:rPr>
        <w:t xml:space="preserve"> (</w:t>
      </w:r>
      <w:proofErr w:type="spellStart"/>
      <w:r w:rsidR="00A2631B">
        <w:rPr>
          <w:rFonts w:asciiTheme="majorBidi" w:hAnsiTheme="majorBidi" w:cstheme="majorBidi"/>
          <w:lang w:val="en-US"/>
        </w:rPr>
        <w:t>Hanan</w:t>
      </w:r>
      <w:proofErr w:type="spellEnd"/>
      <w:r w:rsidR="00A2631B" w:rsidRPr="00A2631B">
        <w:rPr>
          <w:rFonts w:asciiTheme="majorBidi" w:hAnsiTheme="majorBidi" w:cstheme="majorBidi"/>
        </w:rPr>
        <w:t xml:space="preserve"> </w:t>
      </w:r>
      <w:r w:rsidR="00A2631B">
        <w:rPr>
          <w:rFonts w:asciiTheme="majorBidi" w:hAnsiTheme="majorBidi" w:cstheme="majorBidi"/>
          <w:lang w:val="en-US"/>
        </w:rPr>
        <w:t>v</w:t>
      </w:r>
      <w:r w:rsidR="00A2631B" w:rsidRPr="00A2631B">
        <w:rPr>
          <w:rFonts w:asciiTheme="majorBidi" w:hAnsiTheme="majorBidi" w:cstheme="majorBidi"/>
        </w:rPr>
        <w:t xml:space="preserve">. </w:t>
      </w:r>
      <w:proofErr w:type="gramStart"/>
      <w:r w:rsidR="00A2631B">
        <w:rPr>
          <w:rFonts w:asciiTheme="majorBidi" w:hAnsiTheme="majorBidi" w:cstheme="majorBidi"/>
          <w:lang w:val="en-US"/>
        </w:rPr>
        <w:t>Germany</w:t>
      </w:r>
      <w:r w:rsidR="00A2631B" w:rsidRPr="00A2631B">
        <w:rPr>
          <w:rFonts w:asciiTheme="majorBidi" w:hAnsiTheme="majorBidi" w:cstheme="majorBidi"/>
        </w:rPr>
        <w:t xml:space="preserve"> [</w:t>
      </w:r>
      <w:r w:rsidR="00A2631B">
        <w:rPr>
          <w:rFonts w:asciiTheme="majorBidi" w:hAnsiTheme="majorBidi" w:cstheme="majorBidi"/>
          <w:lang w:val="en-US"/>
        </w:rPr>
        <w:t>GC</w:t>
      </w:r>
      <w:r w:rsidR="00A2631B" w:rsidRPr="00A2631B">
        <w:rPr>
          <w:rFonts w:asciiTheme="majorBidi" w:hAnsiTheme="majorBidi" w:cstheme="majorBidi"/>
        </w:rPr>
        <w:t>], § 136)</w:t>
      </w:r>
      <w:r w:rsidR="001E1F62" w:rsidRPr="00DF2396">
        <w:rPr>
          <w:rFonts w:asciiTheme="majorBidi" w:hAnsiTheme="majorBidi" w:cstheme="majorBidi"/>
          <w:sz w:val="24"/>
          <w:szCs w:val="24"/>
        </w:rPr>
        <w:t>.</w:t>
      </w:r>
      <w:proofErr w:type="gramEnd"/>
      <w:r w:rsidR="001E1F62" w:rsidRPr="00DF2396">
        <w:rPr>
          <w:rFonts w:asciiTheme="majorBidi" w:hAnsiTheme="majorBidi" w:cstheme="majorBidi"/>
          <w:sz w:val="24"/>
          <w:szCs w:val="24"/>
        </w:rPr>
        <w:t xml:space="preserve"> </w:t>
      </w:r>
      <w:r w:rsidR="00A01F5C" w:rsidRPr="00DF2396">
        <w:rPr>
          <w:rFonts w:asciiTheme="majorBidi" w:hAnsiTheme="majorBidi" w:cstheme="majorBidi"/>
          <w:sz w:val="24"/>
          <w:szCs w:val="24"/>
        </w:rPr>
        <w:t xml:space="preserve">У справі </w:t>
      </w:r>
      <w:proofErr w:type="spellStart"/>
      <w:r w:rsidR="00A01F5C" w:rsidRPr="00DF2396">
        <w:rPr>
          <w:rFonts w:asciiTheme="majorBidi" w:hAnsiTheme="majorBidi" w:cstheme="majorBidi"/>
          <w:sz w:val="24"/>
          <w:szCs w:val="24"/>
        </w:rPr>
        <w:t>Гюзелюртлу</w:t>
      </w:r>
      <w:proofErr w:type="spellEnd"/>
      <w:r w:rsidR="00A01F5C" w:rsidRPr="00DF2396">
        <w:rPr>
          <w:rFonts w:asciiTheme="majorBidi" w:hAnsiTheme="majorBidi" w:cstheme="majorBidi"/>
          <w:sz w:val="24"/>
          <w:szCs w:val="24"/>
        </w:rPr>
        <w:t xml:space="preserve"> та Інші проти Кіпру та Туреччини було дві таких «особливих ознаки</w:t>
      </w:r>
      <w:r w:rsidR="00A446C2" w:rsidRPr="00DF2396">
        <w:rPr>
          <w:rFonts w:asciiTheme="majorBidi" w:hAnsiTheme="majorBidi" w:cstheme="majorBidi"/>
          <w:sz w:val="24"/>
          <w:szCs w:val="24"/>
        </w:rPr>
        <w:t>»</w:t>
      </w:r>
      <w:r w:rsidR="00A01F5C" w:rsidRPr="00DF2396">
        <w:rPr>
          <w:rFonts w:asciiTheme="majorBidi" w:hAnsiTheme="majorBidi" w:cstheme="majorBidi"/>
          <w:sz w:val="24"/>
          <w:szCs w:val="24"/>
        </w:rPr>
        <w:t>: а) північна частина Кіпру перебувала під фактичним контролем Туреччини для цілей Конвенції, що виправдовувало відхід від загального підходу, і, отже, передбачало процесуальне зобов’язання Туреччини згідно зі статтею 2; і б) перебування підозрюваних у вбивстві на території,</w:t>
      </w:r>
      <w:r w:rsidR="00A446C2" w:rsidRPr="00DF2396">
        <w:rPr>
          <w:rFonts w:asciiTheme="majorBidi" w:hAnsiTheme="majorBidi" w:cstheme="majorBidi"/>
          <w:sz w:val="24"/>
          <w:szCs w:val="24"/>
        </w:rPr>
        <w:t xml:space="preserve"> контрольованій Туреччиною, було</w:t>
      </w:r>
      <w:r w:rsidR="00A01F5C" w:rsidRPr="00DF2396">
        <w:rPr>
          <w:rFonts w:asciiTheme="majorBidi" w:hAnsiTheme="majorBidi" w:cstheme="majorBidi"/>
          <w:sz w:val="24"/>
          <w:szCs w:val="24"/>
        </w:rPr>
        <w:t xml:space="preserve"> відом</w:t>
      </w:r>
      <w:r w:rsidR="00A446C2" w:rsidRPr="00DF2396">
        <w:rPr>
          <w:rFonts w:asciiTheme="majorBidi" w:hAnsiTheme="majorBidi" w:cstheme="majorBidi"/>
          <w:sz w:val="24"/>
          <w:szCs w:val="24"/>
        </w:rPr>
        <w:t>е</w:t>
      </w:r>
      <w:r w:rsidR="00A01F5C" w:rsidRPr="00DF2396">
        <w:rPr>
          <w:rFonts w:asciiTheme="majorBidi" w:hAnsiTheme="majorBidi" w:cstheme="majorBidi"/>
          <w:sz w:val="24"/>
          <w:szCs w:val="24"/>
        </w:rPr>
        <w:t xml:space="preserve"> владі Туреччини та «Турецької Республіки Північного Кіпру» і завадила Кіпру виконати свої зобов’язання за Конвенцією</w:t>
      </w:r>
      <w:r w:rsidR="00A2631B" w:rsidRPr="00A2631B">
        <w:rPr>
          <w:rFonts w:asciiTheme="majorBidi" w:hAnsiTheme="majorBidi" w:cstheme="majorBidi"/>
          <w:sz w:val="24"/>
          <w:szCs w:val="24"/>
        </w:rPr>
        <w:t xml:space="preserve"> (</w:t>
      </w:r>
      <w:proofErr w:type="spellStart"/>
      <w:r w:rsidR="00A2631B">
        <w:rPr>
          <w:rFonts w:asciiTheme="majorBidi" w:hAnsiTheme="majorBidi" w:cstheme="majorBidi"/>
          <w:lang w:val="en-US"/>
        </w:rPr>
        <w:t>Hanan</w:t>
      </w:r>
      <w:proofErr w:type="spellEnd"/>
      <w:r w:rsidR="00A2631B" w:rsidRPr="00A2631B">
        <w:rPr>
          <w:rFonts w:asciiTheme="majorBidi" w:hAnsiTheme="majorBidi" w:cstheme="majorBidi"/>
        </w:rPr>
        <w:t xml:space="preserve"> </w:t>
      </w:r>
      <w:r w:rsidR="00A2631B">
        <w:rPr>
          <w:rFonts w:asciiTheme="majorBidi" w:hAnsiTheme="majorBidi" w:cstheme="majorBidi"/>
          <w:lang w:val="en-US"/>
        </w:rPr>
        <w:t>v</w:t>
      </w:r>
      <w:r w:rsidR="00A2631B" w:rsidRPr="00A2631B">
        <w:rPr>
          <w:rFonts w:asciiTheme="majorBidi" w:hAnsiTheme="majorBidi" w:cstheme="majorBidi"/>
        </w:rPr>
        <w:t xml:space="preserve">. </w:t>
      </w:r>
      <w:proofErr w:type="gramStart"/>
      <w:r w:rsidR="00A2631B">
        <w:rPr>
          <w:rFonts w:asciiTheme="majorBidi" w:hAnsiTheme="majorBidi" w:cstheme="majorBidi"/>
          <w:lang w:val="en-US"/>
        </w:rPr>
        <w:t>Germany</w:t>
      </w:r>
      <w:r w:rsidR="00A2631B" w:rsidRPr="00A2631B">
        <w:rPr>
          <w:rFonts w:asciiTheme="majorBidi" w:hAnsiTheme="majorBidi" w:cstheme="majorBidi"/>
        </w:rPr>
        <w:t xml:space="preserve"> [</w:t>
      </w:r>
      <w:r w:rsidR="00A2631B">
        <w:rPr>
          <w:rFonts w:asciiTheme="majorBidi" w:hAnsiTheme="majorBidi" w:cstheme="majorBidi"/>
          <w:lang w:val="en-US"/>
        </w:rPr>
        <w:t>GC</w:t>
      </w:r>
      <w:r w:rsidR="00A2631B" w:rsidRPr="00A2631B">
        <w:rPr>
          <w:rFonts w:asciiTheme="majorBidi" w:hAnsiTheme="majorBidi" w:cstheme="majorBidi"/>
        </w:rPr>
        <w:t>], § 133)</w:t>
      </w:r>
      <w:r w:rsidR="00A01F5C" w:rsidRPr="00DF2396">
        <w:rPr>
          <w:rFonts w:asciiTheme="majorBidi" w:hAnsiTheme="majorBidi" w:cstheme="majorBidi"/>
          <w:sz w:val="24"/>
          <w:szCs w:val="24"/>
        </w:rPr>
        <w:t>.</w:t>
      </w:r>
      <w:proofErr w:type="gramEnd"/>
      <w:r w:rsidR="00A446C2" w:rsidRPr="00DF2396">
        <w:rPr>
          <w:rFonts w:asciiTheme="majorBidi" w:hAnsiTheme="majorBidi" w:cstheme="majorBidi"/>
          <w:sz w:val="24"/>
          <w:szCs w:val="24"/>
        </w:rPr>
        <w:t xml:space="preserve"> У Справі </w:t>
      </w:r>
      <w:proofErr w:type="spellStart"/>
      <w:r w:rsidR="00A446C2" w:rsidRPr="00DF2396">
        <w:rPr>
          <w:rFonts w:asciiTheme="majorBidi" w:hAnsiTheme="majorBidi" w:cstheme="majorBidi"/>
          <w:sz w:val="24"/>
          <w:szCs w:val="24"/>
        </w:rPr>
        <w:t>Ханан</w:t>
      </w:r>
      <w:proofErr w:type="spellEnd"/>
      <w:r w:rsidR="00A446C2" w:rsidRPr="00DF2396">
        <w:rPr>
          <w:rFonts w:asciiTheme="majorBidi" w:hAnsiTheme="majorBidi" w:cstheme="majorBidi"/>
          <w:sz w:val="24"/>
          <w:szCs w:val="24"/>
        </w:rPr>
        <w:t xml:space="preserve"> проти Німеччини Суд також встановив наявність «особливих ознак», якими були: а) обов’язок Німеччини розслідувати авіаудар відповідно до звичаєвого міжнародного гуманітарного права; б) наявність імунітету у військових посадовців, задіяних у операції, щодо розслідування можливих кримінальних чи дисциплінарних порушень під час їх місії в Афганістані, який унеможливлював проведення розслідування органами влади Афганістану</w:t>
      </w:r>
      <w:r w:rsidR="008147E4" w:rsidRPr="00DF2396">
        <w:rPr>
          <w:rFonts w:asciiTheme="majorBidi" w:hAnsiTheme="majorBidi" w:cstheme="majorBidi"/>
          <w:sz w:val="24"/>
          <w:szCs w:val="24"/>
        </w:rPr>
        <w:t>; в) зобов’язання Німеччини за власним національним кримінальним законодавством розслідувати можливий воєнний злочин</w:t>
      </w:r>
      <w:r w:rsidR="00A2631B" w:rsidRPr="00A2631B">
        <w:rPr>
          <w:rFonts w:asciiTheme="majorBidi" w:hAnsiTheme="majorBidi" w:cstheme="majorBidi"/>
          <w:sz w:val="24"/>
          <w:szCs w:val="24"/>
        </w:rPr>
        <w:t xml:space="preserve"> (</w:t>
      </w:r>
      <w:proofErr w:type="spellStart"/>
      <w:r w:rsidR="00A2631B">
        <w:rPr>
          <w:rFonts w:asciiTheme="majorBidi" w:hAnsiTheme="majorBidi" w:cstheme="majorBidi"/>
          <w:lang w:val="en-US"/>
        </w:rPr>
        <w:t>Hanan</w:t>
      </w:r>
      <w:proofErr w:type="spellEnd"/>
      <w:r w:rsidR="00A2631B">
        <w:rPr>
          <w:rFonts w:asciiTheme="majorBidi" w:hAnsiTheme="majorBidi" w:cstheme="majorBidi"/>
          <w:lang w:val="en-US"/>
        </w:rPr>
        <w:t> v</w:t>
      </w:r>
      <w:r w:rsidR="00A2631B" w:rsidRPr="00A2631B">
        <w:rPr>
          <w:rFonts w:asciiTheme="majorBidi" w:hAnsiTheme="majorBidi" w:cstheme="majorBidi"/>
        </w:rPr>
        <w:t>.</w:t>
      </w:r>
      <w:r w:rsidR="00A2631B">
        <w:rPr>
          <w:rFonts w:asciiTheme="majorBidi" w:hAnsiTheme="majorBidi" w:cstheme="majorBidi"/>
          <w:lang w:val="en-US"/>
        </w:rPr>
        <w:t> Germany</w:t>
      </w:r>
      <w:r w:rsidR="00A2631B">
        <w:rPr>
          <w:lang w:val="en-US"/>
        </w:rPr>
        <w:t> </w:t>
      </w:r>
      <w:r w:rsidR="00A2631B" w:rsidRPr="00A2631B">
        <w:rPr>
          <w:rFonts w:asciiTheme="majorBidi" w:hAnsiTheme="majorBidi" w:cstheme="majorBidi"/>
        </w:rPr>
        <w:t>[</w:t>
      </w:r>
      <w:r w:rsidR="00A2631B">
        <w:rPr>
          <w:rFonts w:asciiTheme="majorBidi" w:hAnsiTheme="majorBidi" w:cstheme="majorBidi"/>
          <w:lang w:val="en-US"/>
        </w:rPr>
        <w:t>GC</w:t>
      </w:r>
      <w:r w:rsidR="00A2631B" w:rsidRPr="00A2631B">
        <w:rPr>
          <w:rFonts w:asciiTheme="majorBidi" w:hAnsiTheme="majorBidi" w:cstheme="majorBidi"/>
        </w:rPr>
        <w:t>], §§</w:t>
      </w:r>
      <w:r w:rsidR="00A2631B">
        <w:rPr>
          <w:rFonts w:asciiTheme="majorBidi" w:hAnsiTheme="majorBidi" w:cstheme="majorBidi"/>
          <w:lang w:val="en-US"/>
        </w:rPr>
        <w:t> </w:t>
      </w:r>
      <w:r w:rsidR="00A2631B" w:rsidRPr="00A2631B">
        <w:rPr>
          <w:rFonts w:asciiTheme="majorBidi" w:hAnsiTheme="majorBidi" w:cstheme="majorBidi"/>
        </w:rPr>
        <w:t>137-139)</w:t>
      </w:r>
      <w:r w:rsidR="008147E4" w:rsidRPr="00DF2396">
        <w:rPr>
          <w:rFonts w:asciiTheme="majorBidi" w:hAnsiTheme="majorBidi" w:cstheme="majorBidi"/>
          <w:sz w:val="24"/>
          <w:szCs w:val="24"/>
        </w:rPr>
        <w:t>.</w:t>
      </w:r>
      <w:r w:rsidR="000E3D50" w:rsidRPr="00DF2396">
        <w:rPr>
          <w:rFonts w:asciiTheme="majorBidi" w:hAnsiTheme="majorBidi" w:cstheme="majorBidi"/>
          <w:sz w:val="24"/>
          <w:szCs w:val="24"/>
        </w:rPr>
        <w:t xml:space="preserve"> Таким чином, в обох справах Суд встановив юрисдикційний зв'язок між Державами-Учасницями Конвенції та відповідними екстратериторіальними порушеннями у частині процесуальних зобов’язань.</w:t>
      </w:r>
    </w:p>
    <w:p w:rsidR="0021504F" w:rsidRPr="00DF2396" w:rsidRDefault="00B06694" w:rsidP="00DF2396">
      <w:pPr>
        <w:spacing w:after="0" w:line="240" w:lineRule="auto"/>
        <w:ind w:firstLine="567"/>
        <w:jc w:val="both"/>
        <w:outlineLvl w:val="0"/>
        <w:rPr>
          <w:rFonts w:asciiTheme="majorBidi" w:hAnsiTheme="majorBidi" w:cstheme="majorBidi"/>
          <w:sz w:val="24"/>
          <w:szCs w:val="24"/>
        </w:rPr>
      </w:pPr>
      <w:r w:rsidRPr="00DF2396">
        <w:rPr>
          <w:rFonts w:asciiTheme="majorBidi" w:hAnsiTheme="majorBidi" w:cstheme="majorBidi"/>
          <w:i/>
          <w:iCs/>
          <w:sz w:val="24"/>
          <w:szCs w:val="24"/>
        </w:rPr>
        <w:t>Спектр порушень прав людини, щод</w:t>
      </w:r>
      <w:r w:rsidR="000E3D50" w:rsidRPr="00DF2396">
        <w:rPr>
          <w:rFonts w:asciiTheme="majorBidi" w:hAnsiTheme="majorBidi" w:cstheme="majorBidi"/>
          <w:i/>
          <w:iCs/>
          <w:sz w:val="24"/>
          <w:szCs w:val="24"/>
        </w:rPr>
        <w:t xml:space="preserve">о яких у Держав-учасниць є процесуальні зобов’язання. </w:t>
      </w:r>
      <w:r w:rsidR="0034601E" w:rsidRPr="00DF2396">
        <w:rPr>
          <w:rFonts w:asciiTheme="majorBidi" w:hAnsiTheme="majorBidi" w:cstheme="majorBidi"/>
          <w:sz w:val="24"/>
          <w:szCs w:val="24"/>
        </w:rPr>
        <w:t>Н</w:t>
      </w:r>
      <w:r w:rsidR="0021504F" w:rsidRPr="00DF2396">
        <w:rPr>
          <w:rFonts w:asciiTheme="majorBidi" w:hAnsiTheme="majorBidi" w:cstheme="majorBidi"/>
          <w:sz w:val="24"/>
          <w:szCs w:val="24"/>
        </w:rPr>
        <w:t>е всі порушення прав людини</w:t>
      </w:r>
      <w:r w:rsidR="00D13B43" w:rsidRPr="00DF2396">
        <w:rPr>
          <w:rFonts w:asciiTheme="majorBidi" w:hAnsiTheme="majorBidi" w:cstheme="majorBidi"/>
          <w:sz w:val="24"/>
          <w:szCs w:val="24"/>
        </w:rPr>
        <w:t>, гарантованих Конвенцією,</w:t>
      </w:r>
      <w:r w:rsidR="0021504F" w:rsidRPr="00DF2396">
        <w:rPr>
          <w:rFonts w:asciiTheme="majorBidi" w:hAnsiTheme="majorBidi" w:cstheme="majorBidi"/>
          <w:sz w:val="24"/>
          <w:szCs w:val="24"/>
        </w:rPr>
        <w:t xml:space="preserve"> є злочинами чи навіть адміністративними правопорушеннями. Відповідно, не всі порушення прав людини навіть теоретично можуть бути розслідувані. Тому виникає питання – які саме порушення держава</w:t>
      </w:r>
      <w:r w:rsidRPr="00DF2396">
        <w:rPr>
          <w:rFonts w:asciiTheme="majorBidi" w:hAnsiTheme="majorBidi" w:cstheme="majorBidi"/>
          <w:sz w:val="24"/>
          <w:szCs w:val="24"/>
        </w:rPr>
        <w:t xml:space="preserve"> – учасниця Європейської конвенції з прав людини</w:t>
      </w:r>
      <w:r w:rsidR="0021504F" w:rsidRPr="00DF2396">
        <w:rPr>
          <w:rFonts w:asciiTheme="majorBidi" w:hAnsiTheme="majorBidi" w:cstheme="majorBidi"/>
          <w:sz w:val="24"/>
          <w:szCs w:val="24"/>
        </w:rPr>
        <w:t xml:space="preserve"> зобов’язана розслідувати? </w:t>
      </w:r>
    </w:p>
    <w:p w:rsidR="005C0174" w:rsidRPr="000D2F84" w:rsidRDefault="005C0174" w:rsidP="000D2F84">
      <w:pPr>
        <w:spacing w:after="0" w:line="240" w:lineRule="auto"/>
        <w:ind w:firstLine="567"/>
        <w:jc w:val="both"/>
        <w:rPr>
          <w:rFonts w:asciiTheme="majorBidi" w:hAnsiTheme="majorBidi" w:cstheme="majorBidi"/>
          <w:sz w:val="24"/>
          <w:szCs w:val="24"/>
          <w:lang w:val="en-US"/>
        </w:rPr>
      </w:pPr>
      <w:r w:rsidRPr="00DF2396">
        <w:rPr>
          <w:rFonts w:asciiTheme="majorBidi" w:hAnsiTheme="majorBidi" w:cstheme="majorBidi"/>
          <w:sz w:val="24"/>
          <w:szCs w:val="24"/>
        </w:rPr>
        <w:t xml:space="preserve">Найбільш розвиненою і чітко артикульованою </w:t>
      </w:r>
      <w:r w:rsidR="001E0552" w:rsidRPr="00DF2396">
        <w:rPr>
          <w:rFonts w:asciiTheme="majorBidi" w:hAnsiTheme="majorBidi" w:cstheme="majorBidi"/>
          <w:sz w:val="24"/>
          <w:szCs w:val="24"/>
        </w:rPr>
        <w:t xml:space="preserve">у цьому контексті </w:t>
      </w:r>
      <w:r w:rsidRPr="00DF2396">
        <w:rPr>
          <w:rFonts w:asciiTheme="majorBidi" w:hAnsiTheme="majorBidi" w:cstheme="majorBidi"/>
          <w:sz w:val="24"/>
          <w:szCs w:val="24"/>
        </w:rPr>
        <w:t>є практика за статтями 2</w:t>
      </w:r>
      <w:r w:rsidR="0021504F" w:rsidRPr="00DF2396">
        <w:rPr>
          <w:sz w:val="24"/>
          <w:szCs w:val="24"/>
        </w:rPr>
        <w:t> </w:t>
      </w:r>
      <w:r w:rsidR="00262272" w:rsidRPr="00DF2396">
        <w:rPr>
          <w:rFonts w:asciiTheme="majorBidi" w:hAnsiTheme="majorBidi" w:cstheme="majorBidi"/>
          <w:sz w:val="24"/>
          <w:szCs w:val="24"/>
        </w:rPr>
        <w:t>(«Право на життя»)</w:t>
      </w:r>
      <w:r w:rsidRPr="00DF2396">
        <w:rPr>
          <w:rFonts w:asciiTheme="majorBidi" w:hAnsiTheme="majorBidi" w:cstheme="majorBidi"/>
          <w:sz w:val="24"/>
          <w:szCs w:val="24"/>
        </w:rPr>
        <w:t>, 3</w:t>
      </w:r>
      <w:r w:rsidR="0021504F" w:rsidRPr="00DF2396">
        <w:rPr>
          <w:rFonts w:asciiTheme="majorBidi" w:hAnsiTheme="majorBidi" w:cstheme="majorBidi"/>
          <w:sz w:val="24"/>
          <w:szCs w:val="24"/>
        </w:rPr>
        <w:t> </w:t>
      </w:r>
      <w:r w:rsidR="000E3D50" w:rsidRPr="00DF2396">
        <w:rPr>
          <w:rFonts w:asciiTheme="majorBidi" w:hAnsiTheme="majorBidi" w:cstheme="majorBidi"/>
          <w:sz w:val="24"/>
          <w:szCs w:val="24"/>
        </w:rPr>
        <w:t>(</w:t>
      </w:r>
      <w:r w:rsidR="00262272" w:rsidRPr="00DF2396">
        <w:rPr>
          <w:rFonts w:asciiTheme="majorBidi" w:hAnsiTheme="majorBidi" w:cstheme="majorBidi"/>
          <w:sz w:val="24"/>
          <w:szCs w:val="24"/>
        </w:rPr>
        <w:t>«Право на свободу від нелюдського поводження»)</w:t>
      </w:r>
      <w:r w:rsidRPr="00DF2396">
        <w:rPr>
          <w:rFonts w:asciiTheme="majorBidi" w:hAnsiTheme="majorBidi" w:cstheme="majorBidi"/>
          <w:sz w:val="24"/>
          <w:szCs w:val="24"/>
        </w:rPr>
        <w:t xml:space="preserve"> і 4</w:t>
      </w:r>
      <w:r w:rsidR="0021504F" w:rsidRPr="00DF2396">
        <w:rPr>
          <w:rFonts w:asciiTheme="majorBidi" w:hAnsiTheme="majorBidi" w:cstheme="majorBidi"/>
          <w:sz w:val="24"/>
          <w:szCs w:val="24"/>
        </w:rPr>
        <w:t> </w:t>
      </w:r>
      <w:r w:rsidR="00262272" w:rsidRPr="00DF2396">
        <w:rPr>
          <w:rFonts w:asciiTheme="majorBidi" w:hAnsiTheme="majorBidi" w:cstheme="majorBidi"/>
          <w:sz w:val="24"/>
          <w:szCs w:val="24"/>
        </w:rPr>
        <w:t>(«Заборона рабства і примусової праці»)</w:t>
      </w:r>
      <w:r w:rsidRPr="00DF2396">
        <w:rPr>
          <w:rFonts w:asciiTheme="majorBidi" w:hAnsiTheme="majorBidi" w:cstheme="majorBidi"/>
          <w:sz w:val="24"/>
          <w:szCs w:val="24"/>
        </w:rPr>
        <w:t xml:space="preserve"> Конвенції. </w:t>
      </w:r>
      <w:r w:rsidR="00C83447" w:rsidRPr="00DF2396">
        <w:rPr>
          <w:rFonts w:asciiTheme="majorBidi" w:hAnsiTheme="majorBidi" w:cstheme="majorBidi"/>
          <w:sz w:val="24"/>
          <w:szCs w:val="24"/>
        </w:rPr>
        <w:t>Щонайменше, мова йде</w:t>
      </w:r>
      <w:r w:rsidR="000E3D50" w:rsidRPr="00DF2396">
        <w:rPr>
          <w:rFonts w:asciiTheme="majorBidi" w:hAnsiTheme="majorBidi" w:cstheme="majorBidi"/>
          <w:sz w:val="24"/>
          <w:szCs w:val="24"/>
        </w:rPr>
        <w:t xml:space="preserve"> про такі порушення, як вбивства</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Al</w:t>
      </w:r>
      <w:r w:rsidR="00A15BD5" w:rsidRPr="00A15BD5">
        <w:rPr>
          <w:rFonts w:asciiTheme="majorBidi" w:hAnsiTheme="majorBidi" w:cstheme="majorBidi"/>
          <w:sz w:val="24"/>
          <w:szCs w:val="24"/>
        </w:rPr>
        <w:t>-</w:t>
      </w:r>
      <w:proofErr w:type="spellStart"/>
      <w:r w:rsidR="00A15BD5">
        <w:rPr>
          <w:rFonts w:asciiTheme="majorBidi" w:hAnsiTheme="majorBidi" w:cstheme="majorBidi"/>
          <w:sz w:val="24"/>
          <w:szCs w:val="24"/>
          <w:lang w:val="en-US"/>
        </w:rPr>
        <w:t>Skeini</w:t>
      </w:r>
      <w:proofErr w:type="spell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and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Others</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v</w:t>
      </w:r>
      <w:r w:rsidR="00A15BD5" w:rsidRPr="00A15BD5">
        <w:rPr>
          <w:rFonts w:asciiTheme="majorBidi" w:hAnsiTheme="majorBidi" w:cstheme="majorBidi"/>
          <w:sz w:val="24"/>
          <w:szCs w:val="24"/>
        </w:rPr>
        <w:t xml:space="preserve">. </w:t>
      </w:r>
      <w:proofErr w:type="gramStart"/>
      <w:r w:rsidR="00A15BD5">
        <w:rPr>
          <w:rFonts w:asciiTheme="majorBidi" w:hAnsiTheme="majorBidi" w:cstheme="majorBidi"/>
          <w:sz w:val="24"/>
          <w:szCs w:val="24"/>
          <w:lang w:val="en-US"/>
        </w:rPr>
        <w:t>the</w:t>
      </w:r>
      <w:proofErr w:type="gram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United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Kingdom</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GC</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rPr>
        <w:t>§</w:t>
      </w:r>
      <w:r w:rsidR="00A15BD5" w:rsidRPr="00A15BD5">
        <w:rPr>
          <w:rFonts w:asciiTheme="majorBidi" w:hAnsiTheme="majorBidi" w:cstheme="majorBidi"/>
          <w:sz w:val="24"/>
          <w:szCs w:val="24"/>
        </w:rPr>
        <w:t xml:space="preserve"> 177)</w:t>
      </w:r>
      <w:r w:rsidR="000E3D50" w:rsidRPr="00DF2396">
        <w:rPr>
          <w:rFonts w:asciiTheme="majorBidi" w:hAnsiTheme="majorBidi" w:cstheme="majorBidi"/>
          <w:sz w:val="24"/>
          <w:szCs w:val="24"/>
        </w:rPr>
        <w:t>, небезпечні для життя ситуації</w:t>
      </w:r>
      <w:r w:rsidR="00B90863" w:rsidRPr="00B90863">
        <w:rPr>
          <w:rFonts w:asciiTheme="majorBidi" w:hAnsiTheme="majorBidi" w:cstheme="majorBidi"/>
          <w:sz w:val="24"/>
          <w:szCs w:val="24"/>
        </w:rPr>
        <w:t xml:space="preserve"> (</w:t>
      </w:r>
      <w:r w:rsidR="00B90863">
        <w:rPr>
          <w:rFonts w:asciiTheme="majorBidi" w:hAnsiTheme="majorBidi" w:cstheme="majorBidi"/>
          <w:sz w:val="24"/>
          <w:szCs w:val="24"/>
          <w:lang w:val="en-US"/>
        </w:rPr>
        <w:t>Case of </w:t>
      </w:r>
      <w:proofErr w:type="spellStart"/>
      <w:r w:rsidR="00B90863">
        <w:rPr>
          <w:rFonts w:asciiTheme="majorBidi" w:hAnsiTheme="majorBidi" w:cstheme="majorBidi"/>
          <w:sz w:val="24"/>
          <w:szCs w:val="24"/>
          <w:lang w:val="en-US"/>
        </w:rPr>
        <w:t>Abuyeva</w:t>
      </w:r>
      <w:proofErr w:type="spellEnd"/>
      <w:r w:rsidR="00B90863">
        <w:rPr>
          <w:rFonts w:asciiTheme="majorBidi" w:hAnsiTheme="majorBidi" w:cstheme="majorBidi"/>
          <w:sz w:val="24"/>
          <w:szCs w:val="24"/>
          <w:lang w:val="en-US"/>
        </w:rPr>
        <w:t> and Others v</w:t>
      </w:r>
      <w:r w:rsidR="00B90863">
        <w:rPr>
          <w:rFonts w:asciiTheme="majorBidi" w:hAnsiTheme="majorBidi" w:cstheme="majorBidi"/>
          <w:sz w:val="24"/>
          <w:szCs w:val="24"/>
        </w:rPr>
        <w:t>.</w:t>
      </w:r>
      <w:r w:rsidR="00B90863">
        <w:rPr>
          <w:rFonts w:asciiTheme="majorBidi" w:hAnsiTheme="majorBidi" w:cstheme="majorBidi"/>
          <w:sz w:val="24"/>
          <w:szCs w:val="24"/>
          <w:lang w:val="en-US"/>
        </w:rPr>
        <w:t> Russia</w:t>
      </w:r>
      <w:r w:rsidR="00B90863" w:rsidRPr="00B90863">
        <w:rPr>
          <w:rFonts w:asciiTheme="majorBidi" w:hAnsiTheme="majorBidi" w:cstheme="majorBidi"/>
          <w:sz w:val="24"/>
          <w:szCs w:val="24"/>
        </w:rPr>
        <w:t xml:space="preserve">, </w:t>
      </w:r>
      <w:r w:rsidR="00B90863">
        <w:rPr>
          <w:rFonts w:asciiTheme="majorBidi" w:hAnsiTheme="majorBidi" w:cstheme="majorBidi"/>
          <w:sz w:val="24"/>
          <w:szCs w:val="24"/>
        </w:rPr>
        <w:t>§</w:t>
      </w:r>
      <w:r w:rsidR="00B90863">
        <w:rPr>
          <w:rFonts w:asciiTheme="majorBidi" w:hAnsiTheme="majorBidi" w:cstheme="majorBidi"/>
          <w:sz w:val="24"/>
          <w:szCs w:val="24"/>
          <w:lang w:val="en-US"/>
        </w:rPr>
        <w:t> </w:t>
      </w:r>
      <w:r w:rsidR="00B90863" w:rsidRPr="00B90863">
        <w:rPr>
          <w:rFonts w:asciiTheme="majorBidi" w:hAnsiTheme="majorBidi" w:cstheme="majorBidi"/>
          <w:sz w:val="24"/>
          <w:szCs w:val="24"/>
        </w:rPr>
        <w:t xml:space="preserve">216 </w:t>
      </w:r>
      <w:r w:rsidR="00B90863">
        <w:rPr>
          <w:rFonts w:asciiTheme="majorBidi" w:hAnsiTheme="majorBidi" w:cstheme="majorBidi"/>
          <w:sz w:val="24"/>
          <w:szCs w:val="24"/>
          <w:lang w:val="en-US"/>
        </w:rPr>
        <w:t>and</w:t>
      </w:r>
      <w:r w:rsidR="00B90863" w:rsidRPr="00B90863">
        <w:rPr>
          <w:rFonts w:asciiTheme="majorBidi" w:hAnsiTheme="majorBidi" w:cstheme="majorBidi"/>
          <w:sz w:val="24"/>
          <w:szCs w:val="24"/>
        </w:rPr>
        <w:t xml:space="preserve"> </w:t>
      </w:r>
      <w:r w:rsidR="00B90863">
        <w:rPr>
          <w:rFonts w:asciiTheme="majorBidi" w:hAnsiTheme="majorBidi" w:cstheme="majorBidi"/>
          <w:sz w:val="24"/>
          <w:szCs w:val="24"/>
          <w:lang w:val="en-US"/>
        </w:rPr>
        <w:t>the</w:t>
      </w:r>
      <w:r w:rsidR="00B90863" w:rsidRPr="00B90863">
        <w:rPr>
          <w:rFonts w:asciiTheme="majorBidi" w:hAnsiTheme="majorBidi" w:cstheme="majorBidi"/>
          <w:sz w:val="24"/>
          <w:szCs w:val="24"/>
        </w:rPr>
        <w:t xml:space="preserve"> </w:t>
      </w:r>
      <w:r w:rsidR="00B90863">
        <w:rPr>
          <w:rFonts w:asciiTheme="majorBidi" w:hAnsiTheme="majorBidi" w:cstheme="majorBidi"/>
          <w:sz w:val="24"/>
          <w:szCs w:val="24"/>
          <w:lang w:val="en-US"/>
        </w:rPr>
        <w:t>annex</w:t>
      </w:r>
      <w:r w:rsidR="00B90863" w:rsidRPr="00B90863">
        <w:rPr>
          <w:rFonts w:asciiTheme="majorBidi" w:hAnsiTheme="majorBidi" w:cstheme="majorBidi"/>
          <w:sz w:val="24"/>
          <w:szCs w:val="24"/>
        </w:rPr>
        <w:t xml:space="preserve">; </w:t>
      </w:r>
      <w:proofErr w:type="spellStart"/>
      <w:r w:rsidR="00B90863" w:rsidRPr="00B90863">
        <w:rPr>
          <w:rFonts w:asciiTheme="majorBidi" w:hAnsiTheme="majorBidi" w:cstheme="majorBidi"/>
          <w:sz w:val="24"/>
          <w:szCs w:val="24"/>
          <w:lang w:val="en-US"/>
        </w:rPr>
        <w:t>Nicolae</w:t>
      </w:r>
      <w:proofErr w:type="spellEnd"/>
      <w:r w:rsidR="00B90863">
        <w:rPr>
          <w:rFonts w:asciiTheme="majorBidi" w:hAnsiTheme="majorBidi" w:cstheme="majorBidi"/>
          <w:sz w:val="24"/>
          <w:szCs w:val="24"/>
          <w:lang w:val="en-US"/>
        </w:rPr>
        <w:t> </w:t>
      </w:r>
      <w:proofErr w:type="spellStart"/>
      <w:r w:rsidR="00B90863" w:rsidRPr="00B90863">
        <w:rPr>
          <w:rFonts w:asciiTheme="majorBidi" w:hAnsiTheme="majorBidi" w:cstheme="majorBidi"/>
          <w:sz w:val="24"/>
          <w:szCs w:val="24"/>
          <w:lang w:val="en-US"/>
        </w:rPr>
        <w:t>Virgiliu</w:t>
      </w:r>
      <w:proofErr w:type="spellEnd"/>
      <w:r w:rsidR="00B90863">
        <w:rPr>
          <w:rFonts w:asciiTheme="majorBidi" w:hAnsiTheme="majorBidi" w:cstheme="majorBidi"/>
          <w:sz w:val="24"/>
          <w:szCs w:val="24"/>
          <w:lang w:val="en-US"/>
        </w:rPr>
        <w:t> </w:t>
      </w:r>
      <w:r w:rsidR="00B90863" w:rsidRPr="00B90863">
        <w:rPr>
          <w:rFonts w:asciiTheme="majorBidi" w:hAnsiTheme="majorBidi" w:cstheme="majorBidi"/>
          <w:sz w:val="24"/>
          <w:szCs w:val="24"/>
          <w:lang w:val="en-US"/>
        </w:rPr>
        <w:t>T</w:t>
      </w:r>
      <w:r w:rsidR="00B90863" w:rsidRPr="00B90863">
        <w:rPr>
          <w:rFonts w:asciiTheme="majorBidi" w:hAnsiTheme="majorBidi" w:cstheme="majorBidi"/>
          <w:sz w:val="24"/>
          <w:szCs w:val="24"/>
        </w:rPr>
        <w:t>ă</w:t>
      </w:r>
      <w:proofErr w:type="spellStart"/>
      <w:r w:rsidR="00B90863" w:rsidRPr="00B90863">
        <w:rPr>
          <w:rFonts w:asciiTheme="majorBidi" w:hAnsiTheme="majorBidi" w:cstheme="majorBidi"/>
          <w:sz w:val="24"/>
          <w:szCs w:val="24"/>
          <w:lang w:val="en-US"/>
        </w:rPr>
        <w:t>nase</w:t>
      </w:r>
      <w:proofErr w:type="spellEnd"/>
      <w:r w:rsidR="00B90863">
        <w:rPr>
          <w:rFonts w:asciiTheme="majorBidi" w:hAnsiTheme="majorBidi" w:cstheme="majorBidi"/>
          <w:sz w:val="24"/>
          <w:szCs w:val="24"/>
          <w:lang w:val="en-US"/>
        </w:rPr>
        <w:t> </w:t>
      </w:r>
      <w:r w:rsidR="00B90863" w:rsidRPr="00B90863">
        <w:rPr>
          <w:rFonts w:asciiTheme="majorBidi" w:hAnsiTheme="majorBidi" w:cstheme="majorBidi"/>
          <w:sz w:val="24"/>
          <w:szCs w:val="24"/>
          <w:lang w:val="en-US"/>
        </w:rPr>
        <w:t>v</w:t>
      </w:r>
      <w:r w:rsidR="00B90863">
        <w:rPr>
          <w:rFonts w:asciiTheme="majorBidi" w:hAnsiTheme="majorBidi" w:cstheme="majorBidi"/>
          <w:sz w:val="24"/>
          <w:szCs w:val="24"/>
        </w:rPr>
        <w:t>.</w:t>
      </w:r>
      <w:r w:rsidR="00B90863">
        <w:rPr>
          <w:rFonts w:asciiTheme="majorBidi" w:hAnsiTheme="majorBidi" w:cstheme="majorBidi"/>
          <w:sz w:val="24"/>
          <w:szCs w:val="24"/>
          <w:lang w:val="en-US"/>
        </w:rPr>
        <w:t> </w:t>
      </w:r>
      <w:r w:rsidR="00B90863" w:rsidRPr="00B90863">
        <w:rPr>
          <w:rFonts w:asciiTheme="majorBidi" w:hAnsiTheme="majorBidi" w:cstheme="majorBidi"/>
          <w:sz w:val="24"/>
          <w:szCs w:val="24"/>
          <w:lang w:val="en-US"/>
        </w:rPr>
        <w:t>Romania</w:t>
      </w:r>
      <w:r w:rsidR="00B90863">
        <w:rPr>
          <w:rFonts w:asciiTheme="majorBidi" w:hAnsiTheme="majorBidi" w:cstheme="majorBidi"/>
          <w:sz w:val="24"/>
          <w:szCs w:val="24"/>
          <w:lang w:val="en-US"/>
        </w:rPr>
        <w:t> </w:t>
      </w:r>
      <w:r w:rsidR="00B90863" w:rsidRPr="00B90863">
        <w:rPr>
          <w:rFonts w:asciiTheme="majorBidi" w:hAnsiTheme="majorBidi" w:cstheme="majorBidi"/>
          <w:sz w:val="24"/>
          <w:szCs w:val="24"/>
        </w:rPr>
        <w:t>[</w:t>
      </w:r>
      <w:r w:rsidR="00B90863" w:rsidRPr="00B90863">
        <w:rPr>
          <w:rFonts w:asciiTheme="majorBidi" w:hAnsiTheme="majorBidi" w:cstheme="majorBidi"/>
          <w:sz w:val="24"/>
          <w:szCs w:val="24"/>
          <w:lang w:val="en-US"/>
        </w:rPr>
        <w:t>GC</w:t>
      </w:r>
      <w:r w:rsidR="00B90863" w:rsidRPr="00B90863">
        <w:rPr>
          <w:rFonts w:asciiTheme="majorBidi" w:hAnsiTheme="majorBidi" w:cstheme="majorBidi"/>
          <w:sz w:val="24"/>
          <w:szCs w:val="24"/>
        </w:rPr>
        <w:t xml:space="preserve">], </w:t>
      </w:r>
      <w:r w:rsidR="00B90863">
        <w:rPr>
          <w:rFonts w:asciiTheme="majorBidi" w:hAnsiTheme="majorBidi" w:cstheme="majorBidi"/>
          <w:sz w:val="24"/>
          <w:szCs w:val="24"/>
        </w:rPr>
        <w:t>§</w:t>
      </w:r>
      <w:r w:rsidR="00B90863">
        <w:rPr>
          <w:rFonts w:asciiTheme="majorBidi" w:hAnsiTheme="majorBidi" w:cstheme="majorBidi"/>
          <w:sz w:val="24"/>
          <w:szCs w:val="24"/>
          <w:lang w:val="en-US"/>
        </w:rPr>
        <w:t> </w:t>
      </w:r>
      <w:r w:rsidR="00B90863" w:rsidRPr="00B90863">
        <w:rPr>
          <w:rFonts w:asciiTheme="majorBidi" w:hAnsiTheme="majorBidi" w:cstheme="majorBidi"/>
          <w:sz w:val="24"/>
          <w:szCs w:val="24"/>
        </w:rPr>
        <w:t>140)</w:t>
      </w:r>
      <w:r w:rsidR="000E3D50" w:rsidRPr="00DF2396">
        <w:rPr>
          <w:rFonts w:asciiTheme="majorBidi" w:hAnsiTheme="majorBidi" w:cstheme="majorBidi"/>
          <w:sz w:val="24"/>
          <w:szCs w:val="24"/>
        </w:rPr>
        <w:t>, насильницькі зникнення</w:t>
      </w:r>
      <w:r w:rsidR="00B90863" w:rsidRPr="00B90863">
        <w:rPr>
          <w:rFonts w:asciiTheme="majorBidi" w:hAnsiTheme="majorBidi" w:cstheme="majorBidi"/>
          <w:sz w:val="24"/>
          <w:szCs w:val="24"/>
        </w:rPr>
        <w:t xml:space="preserve"> (</w:t>
      </w:r>
      <w:proofErr w:type="spellStart"/>
      <w:r w:rsidR="00B90863">
        <w:rPr>
          <w:rFonts w:asciiTheme="majorBidi" w:hAnsiTheme="majorBidi" w:cstheme="majorBidi"/>
          <w:sz w:val="24"/>
          <w:szCs w:val="24"/>
        </w:rPr>
        <w:t>Varnava</w:t>
      </w:r>
      <w:proofErr w:type="spellEnd"/>
      <w:r w:rsidR="00B90863">
        <w:rPr>
          <w:rFonts w:asciiTheme="majorBidi" w:hAnsiTheme="majorBidi" w:cstheme="majorBidi"/>
          <w:sz w:val="24"/>
          <w:szCs w:val="24"/>
          <w:lang w:val="en-US"/>
        </w:rPr>
        <w:t> </w:t>
      </w:r>
      <w:proofErr w:type="spellStart"/>
      <w:r w:rsidR="00B90863">
        <w:rPr>
          <w:rFonts w:asciiTheme="majorBidi" w:hAnsiTheme="majorBidi" w:cstheme="majorBidi"/>
          <w:sz w:val="24"/>
          <w:szCs w:val="24"/>
        </w:rPr>
        <w:t>and</w:t>
      </w:r>
      <w:proofErr w:type="spellEnd"/>
      <w:r w:rsidR="00B90863">
        <w:rPr>
          <w:rFonts w:asciiTheme="majorBidi" w:hAnsiTheme="majorBidi" w:cstheme="majorBidi"/>
          <w:sz w:val="24"/>
          <w:szCs w:val="24"/>
          <w:lang w:val="en-US"/>
        </w:rPr>
        <w:t> </w:t>
      </w:r>
      <w:proofErr w:type="spellStart"/>
      <w:r w:rsidR="00B90863">
        <w:rPr>
          <w:rFonts w:asciiTheme="majorBidi" w:hAnsiTheme="majorBidi" w:cstheme="majorBidi"/>
          <w:sz w:val="24"/>
          <w:szCs w:val="24"/>
        </w:rPr>
        <w:t>Others</w:t>
      </w:r>
      <w:proofErr w:type="spellEnd"/>
      <w:r w:rsidR="00B90863">
        <w:rPr>
          <w:rFonts w:asciiTheme="majorBidi" w:hAnsiTheme="majorBidi" w:cstheme="majorBidi"/>
          <w:sz w:val="24"/>
          <w:szCs w:val="24"/>
          <w:lang w:val="en-US"/>
        </w:rPr>
        <w:t> </w:t>
      </w:r>
      <w:r w:rsidR="00B90863">
        <w:rPr>
          <w:rFonts w:asciiTheme="majorBidi" w:hAnsiTheme="majorBidi" w:cstheme="majorBidi"/>
          <w:sz w:val="24"/>
          <w:szCs w:val="24"/>
        </w:rPr>
        <w:t>v.</w:t>
      </w:r>
      <w:r w:rsidR="00B90863">
        <w:rPr>
          <w:rFonts w:asciiTheme="majorBidi" w:hAnsiTheme="majorBidi" w:cstheme="majorBidi"/>
          <w:sz w:val="24"/>
          <w:szCs w:val="24"/>
          <w:lang w:val="en-US"/>
        </w:rPr>
        <w:t> </w:t>
      </w:r>
      <w:proofErr w:type="spellStart"/>
      <w:r w:rsidR="00B90863">
        <w:rPr>
          <w:rFonts w:asciiTheme="majorBidi" w:hAnsiTheme="majorBidi" w:cstheme="majorBidi"/>
          <w:sz w:val="24"/>
          <w:szCs w:val="24"/>
        </w:rPr>
        <w:t>Turkey</w:t>
      </w:r>
      <w:proofErr w:type="spellEnd"/>
      <w:r w:rsidR="00B90863">
        <w:rPr>
          <w:rFonts w:asciiTheme="majorBidi" w:hAnsiTheme="majorBidi" w:cstheme="majorBidi"/>
          <w:sz w:val="24"/>
          <w:szCs w:val="24"/>
          <w:lang w:val="en-US"/>
        </w:rPr>
        <w:t> </w:t>
      </w:r>
      <w:r w:rsidR="00B90863" w:rsidRPr="00B90863">
        <w:rPr>
          <w:rFonts w:asciiTheme="majorBidi" w:hAnsiTheme="majorBidi" w:cstheme="majorBidi"/>
          <w:sz w:val="24"/>
          <w:szCs w:val="24"/>
        </w:rPr>
        <w:t>[GC], §</w:t>
      </w:r>
      <w:r w:rsidR="00B90863">
        <w:rPr>
          <w:rFonts w:asciiTheme="majorBidi" w:hAnsiTheme="majorBidi" w:cstheme="majorBidi"/>
          <w:sz w:val="24"/>
          <w:szCs w:val="24"/>
          <w:lang w:val="en-US"/>
        </w:rPr>
        <w:t> </w:t>
      </w:r>
      <w:r w:rsidR="00B90863" w:rsidRPr="00B90863">
        <w:rPr>
          <w:rFonts w:asciiTheme="majorBidi" w:hAnsiTheme="majorBidi" w:cstheme="majorBidi"/>
          <w:sz w:val="24"/>
          <w:szCs w:val="24"/>
        </w:rPr>
        <w:t>194)</w:t>
      </w:r>
      <w:r w:rsidR="000E3D50" w:rsidRPr="00DF2396">
        <w:rPr>
          <w:rFonts w:asciiTheme="majorBidi" w:hAnsiTheme="majorBidi" w:cstheme="majorBidi"/>
          <w:sz w:val="24"/>
          <w:szCs w:val="24"/>
        </w:rPr>
        <w:t xml:space="preserve">, </w:t>
      </w:r>
      <w:r w:rsidR="000E3D50" w:rsidRPr="000D2F84">
        <w:rPr>
          <w:rFonts w:asciiTheme="majorBidi" w:hAnsiTheme="majorBidi" w:cstheme="majorBidi"/>
          <w:sz w:val="24"/>
          <w:szCs w:val="24"/>
        </w:rPr>
        <w:t>тортури</w:t>
      </w:r>
      <w:r w:rsidR="000D2F84" w:rsidRPr="000D2F84">
        <w:rPr>
          <w:rFonts w:asciiTheme="majorBidi" w:hAnsiTheme="majorBidi" w:cstheme="majorBidi"/>
          <w:sz w:val="24"/>
          <w:szCs w:val="24"/>
        </w:rPr>
        <w:t xml:space="preserve"> (</w:t>
      </w:r>
      <w:proofErr w:type="spellStart"/>
      <w:r w:rsidR="000D2F84" w:rsidRPr="000D2F84">
        <w:rPr>
          <w:rFonts w:asciiTheme="majorBidi" w:hAnsiTheme="majorBidi" w:cstheme="majorBidi"/>
          <w:sz w:val="24"/>
          <w:szCs w:val="24"/>
          <w:lang w:val="en-US"/>
        </w:rPr>
        <w:t>Ochigava</w:t>
      </w:r>
      <w:proofErr w:type="spellEnd"/>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v</w:t>
      </w:r>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Georgia</w:t>
      </w:r>
      <w:r w:rsidR="000D2F84" w:rsidRPr="000D2F84">
        <w:rPr>
          <w:rFonts w:asciiTheme="majorBidi" w:hAnsiTheme="majorBidi" w:cstheme="majorBidi"/>
          <w:sz w:val="24"/>
          <w:szCs w:val="24"/>
        </w:rPr>
        <w:t>, § 60)</w:t>
      </w:r>
      <w:r w:rsidR="000E3D50" w:rsidRPr="000D2F84">
        <w:rPr>
          <w:rFonts w:asciiTheme="majorBidi" w:hAnsiTheme="majorBidi" w:cstheme="majorBidi"/>
          <w:sz w:val="24"/>
          <w:szCs w:val="24"/>
        </w:rPr>
        <w:t>, зґвалтування</w:t>
      </w:r>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Case</w:t>
      </w:r>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of</w:t>
      </w:r>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S</w:t>
      </w:r>
      <w:r w:rsidR="000D2F84" w:rsidRPr="000D2F84">
        <w:rPr>
          <w:rFonts w:asciiTheme="majorBidi" w:hAnsiTheme="majorBidi" w:cstheme="majorBidi"/>
          <w:sz w:val="24"/>
          <w:szCs w:val="24"/>
        </w:rPr>
        <w:t>.</w:t>
      </w:r>
      <w:r w:rsidR="000D2F84" w:rsidRPr="000D2F84">
        <w:rPr>
          <w:rFonts w:asciiTheme="majorBidi" w:hAnsiTheme="majorBidi" w:cstheme="majorBidi"/>
          <w:sz w:val="24"/>
          <w:szCs w:val="24"/>
          <w:lang w:val="en-US"/>
        </w:rPr>
        <w:t>M</w:t>
      </w:r>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v</w:t>
      </w:r>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Russi</w:t>
      </w:r>
      <w:r w:rsidR="000D2F84">
        <w:rPr>
          <w:rFonts w:asciiTheme="majorBidi" w:hAnsiTheme="majorBidi" w:cstheme="majorBidi"/>
          <w:sz w:val="24"/>
          <w:szCs w:val="24"/>
          <w:lang w:val="en-US"/>
        </w:rPr>
        <w:t>a</w:t>
      </w:r>
      <w:r w:rsidR="000D2F84" w:rsidRPr="000D2F84">
        <w:rPr>
          <w:rFonts w:asciiTheme="majorBidi" w:hAnsiTheme="majorBidi" w:cstheme="majorBidi"/>
          <w:sz w:val="24"/>
          <w:szCs w:val="24"/>
        </w:rPr>
        <w:t xml:space="preserve">, </w:t>
      </w:r>
      <w:r w:rsidR="000D2F84">
        <w:rPr>
          <w:rFonts w:asciiTheme="majorBidi" w:hAnsiTheme="majorBidi" w:cstheme="majorBidi"/>
          <w:sz w:val="24"/>
          <w:szCs w:val="24"/>
        </w:rPr>
        <w:t>§</w:t>
      </w:r>
      <w:r w:rsidR="000D2F84">
        <w:rPr>
          <w:rFonts w:asciiTheme="majorBidi" w:hAnsiTheme="majorBidi" w:cstheme="majorBidi"/>
          <w:sz w:val="24"/>
          <w:szCs w:val="24"/>
          <w:lang w:val="en-US"/>
        </w:rPr>
        <w:t> </w:t>
      </w:r>
      <w:r w:rsidR="000D2F84" w:rsidRPr="000D2F84">
        <w:rPr>
          <w:rFonts w:asciiTheme="majorBidi" w:hAnsiTheme="majorBidi" w:cstheme="majorBidi"/>
          <w:sz w:val="24"/>
          <w:szCs w:val="24"/>
        </w:rPr>
        <w:t>72)</w:t>
      </w:r>
      <w:r w:rsidR="000E3D50" w:rsidRPr="00DF2396">
        <w:rPr>
          <w:rFonts w:asciiTheme="majorBidi" w:hAnsiTheme="majorBidi" w:cstheme="majorBidi"/>
          <w:sz w:val="24"/>
          <w:szCs w:val="24"/>
        </w:rPr>
        <w:t>, інші види нелюдського та принизливого поводження</w:t>
      </w:r>
      <w:r w:rsidR="000D2F84" w:rsidRPr="000D2F84">
        <w:rPr>
          <w:rFonts w:asciiTheme="majorBidi" w:hAnsiTheme="majorBidi" w:cstheme="majorBidi"/>
          <w:sz w:val="24"/>
          <w:szCs w:val="24"/>
        </w:rPr>
        <w:t xml:space="preserve"> (</w:t>
      </w:r>
      <w:proofErr w:type="spellStart"/>
      <w:r w:rsidR="000D2F84" w:rsidRPr="000D2F84">
        <w:rPr>
          <w:rFonts w:asciiTheme="majorBidi" w:hAnsiTheme="majorBidi" w:cstheme="majorBidi"/>
          <w:sz w:val="24"/>
          <w:szCs w:val="24"/>
          <w:lang w:val="en-US"/>
        </w:rPr>
        <w:t>Ochigava</w:t>
      </w:r>
      <w:proofErr w:type="spellEnd"/>
      <w:r w:rsidR="000D2F84">
        <w:rPr>
          <w:rFonts w:asciiTheme="majorBidi" w:hAnsiTheme="majorBidi" w:cstheme="majorBidi"/>
          <w:sz w:val="24"/>
          <w:szCs w:val="24"/>
          <w:lang w:val="en-US"/>
        </w:rPr>
        <w:t> </w:t>
      </w:r>
      <w:r w:rsidR="000D2F84" w:rsidRPr="000D2F84">
        <w:rPr>
          <w:rFonts w:asciiTheme="majorBidi" w:hAnsiTheme="majorBidi" w:cstheme="majorBidi"/>
          <w:sz w:val="24"/>
          <w:szCs w:val="24"/>
          <w:lang w:val="en-US"/>
        </w:rPr>
        <w:t>v</w:t>
      </w:r>
      <w:r w:rsidR="000D2F84" w:rsidRPr="000D2F84">
        <w:rPr>
          <w:rFonts w:asciiTheme="majorBidi" w:hAnsiTheme="majorBidi" w:cstheme="majorBidi"/>
          <w:sz w:val="24"/>
          <w:szCs w:val="24"/>
        </w:rPr>
        <w:t xml:space="preserve">. </w:t>
      </w:r>
      <w:r w:rsidR="000D2F84" w:rsidRPr="000D2F84">
        <w:rPr>
          <w:rFonts w:asciiTheme="majorBidi" w:hAnsiTheme="majorBidi" w:cstheme="majorBidi"/>
          <w:sz w:val="24"/>
          <w:szCs w:val="24"/>
          <w:lang w:val="en-US"/>
        </w:rPr>
        <w:t>Georgia</w:t>
      </w:r>
      <w:r w:rsidR="000D2F84" w:rsidRPr="000D2F84">
        <w:rPr>
          <w:rFonts w:asciiTheme="majorBidi" w:hAnsiTheme="majorBidi" w:cstheme="majorBidi"/>
          <w:sz w:val="24"/>
          <w:szCs w:val="24"/>
        </w:rPr>
        <w:t>, §</w:t>
      </w:r>
      <w:r w:rsidR="000D2F84">
        <w:rPr>
          <w:rFonts w:asciiTheme="majorBidi" w:hAnsiTheme="majorBidi" w:cstheme="majorBidi"/>
          <w:sz w:val="24"/>
          <w:szCs w:val="24"/>
          <w:lang w:val="en-US"/>
        </w:rPr>
        <w:t> </w:t>
      </w:r>
      <w:r w:rsidR="000D2F84" w:rsidRPr="000D2F84">
        <w:rPr>
          <w:rFonts w:asciiTheme="majorBidi" w:hAnsiTheme="majorBidi" w:cstheme="majorBidi"/>
          <w:sz w:val="24"/>
          <w:szCs w:val="24"/>
        </w:rPr>
        <w:t>60)</w:t>
      </w:r>
      <w:r w:rsidR="000E3D50" w:rsidRPr="00DF2396">
        <w:rPr>
          <w:rFonts w:asciiTheme="majorBidi" w:hAnsiTheme="majorBidi" w:cstheme="majorBidi"/>
          <w:sz w:val="24"/>
          <w:szCs w:val="24"/>
        </w:rPr>
        <w:t>, торгівлю людьми</w:t>
      </w:r>
      <w:r w:rsidR="00901B81" w:rsidRPr="00901B81">
        <w:rPr>
          <w:rFonts w:asciiTheme="majorBidi" w:hAnsiTheme="majorBidi" w:cstheme="majorBidi"/>
          <w:sz w:val="24"/>
          <w:szCs w:val="24"/>
        </w:rPr>
        <w:t xml:space="preserve"> (</w:t>
      </w:r>
      <w:r w:rsidR="00901B81" w:rsidRPr="000D2F84">
        <w:rPr>
          <w:rFonts w:asciiTheme="majorBidi" w:hAnsiTheme="majorBidi" w:cstheme="majorBidi"/>
          <w:sz w:val="24"/>
          <w:szCs w:val="24"/>
          <w:lang w:val="en-US"/>
        </w:rPr>
        <w:t>S.M</w:t>
      </w:r>
      <w:r w:rsidR="00B90863" w:rsidRPr="000D2F84">
        <w:rPr>
          <w:rFonts w:asciiTheme="majorBidi" w:hAnsiTheme="majorBidi" w:cstheme="majorBidi"/>
          <w:sz w:val="24"/>
          <w:szCs w:val="24"/>
          <w:lang w:val="en-US"/>
        </w:rPr>
        <w:t>. </w:t>
      </w:r>
      <w:r w:rsidR="00901B81" w:rsidRPr="000D2F84">
        <w:rPr>
          <w:rFonts w:asciiTheme="majorBidi" w:hAnsiTheme="majorBidi" w:cstheme="majorBidi"/>
          <w:sz w:val="24"/>
          <w:szCs w:val="24"/>
          <w:lang w:val="en-US"/>
        </w:rPr>
        <w:t>v. Croatia [GC</w:t>
      </w:r>
      <w:r w:rsidR="00B90863" w:rsidRPr="000D2F84">
        <w:rPr>
          <w:rFonts w:asciiTheme="majorBidi" w:hAnsiTheme="majorBidi" w:cstheme="majorBidi"/>
          <w:sz w:val="24"/>
          <w:szCs w:val="24"/>
          <w:lang w:val="en-US"/>
        </w:rPr>
        <w:t>], § </w:t>
      </w:r>
      <w:r w:rsidR="00901B81" w:rsidRPr="000D2F84">
        <w:rPr>
          <w:rFonts w:asciiTheme="majorBidi" w:hAnsiTheme="majorBidi" w:cstheme="majorBidi"/>
          <w:sz w:val="24"/>
          <w:szCs w:val="24"/>
          <w:lang w:val="en-US"/>
        </w:rPr>
        <w:t>81)</w:t>
      </w:r>
      <w:r w:rsidR="000E3D50" w:rsidRPr="000D2F84">
        <w:rPr>
          <w:rFonts w:asciiTheme="majorBidi" w:hAnsiTheme="majorBidi" w:cstheme="majorBidi"/>
          <w:sz w:val="24"/>
          <w:szCs w:val="24"/>
          <w:lang w:val="en-US"/>
        </w:rPr>
        <w:t>, рабство і примусову працю</w:t>
      </w:r>
      <w:r w:rsidR="000D2F84" w:rsidRPr="000D2F84">
        <w:rPr>
          <w:rFonts w:asciiTheme="majorBidi" w:hAnsiTheme="majorBidi" w:cstheme="majorBidi"/>
          <w:sz w:val="24"/>
          <w:szCs w:val="24"/>
          <w:lang w:val="en-US"/>
        </w:rPr>
        <w:t xml:space="preserve"> </w:t>
      </w:r>
      <w:r w:rsidR="000D2F84">
        <w:rPr>
          <w:rFonts w:asciiTheme="majorBidi" w:hAnsiTheme="majorBidi" w:cstheme="majorBidi"/>
          <w:sz w:val="24"/>
          <w:szCs w:val="24"/>
          <w:lang w:val="en-US"/>
        </w:rPr>
        <w:t xml:space="preserve">(Case of </w:t>
      </w:r>
      <w:proofErr w:type="spellStart"/>
      <w:r w:rsidR="000D2F84">
        <w:rPr>
          <w:rFonts w:asciiTheme="majorBidi" w:hAnsiTheme="majorBidi" w:cstheme="majorBidi"/>
          <w:sz w:val="24"/>
          <w:szCs w:val="24"/>
          <w:lang w:val="en-US"/>
        </w:rPr>
        <w:t>Zoletic</w:t>
      </w:r>
      <w:proofErr w:type="spellEnd"/>
      <w:r w:rsidR="000D2F84">
        <w:rPr>
          <w:rFonts w:asciiTheme="majorBidi" w:hAnsiTheme="majorBidi" w:cstheme="majorBidi"/>
          <w:sz w:val="24"/>
          <w:szCs w:val="24"/>
          <w:lang w:val="en-US"/>
        </w:rPr>
        <w:t xml:space="preserve"> and Others v. Azerbaijan</w:t>
      </w:r>
      <w:r w:rsidR="000D2F84" w:rsidRPr="000D2F84">
        <w:rPr>
          <w:rFonts w:asciiTheme="majorBidi" w:hAnsiTheme="majorBidi" w:cstheme="majorBidi"/>
          <w:sz w:val="24"/>
          <w:szCs w:val="24"/>
          <w:lang w:val="en-US"/>
        </w:rPr>
        <w:t>, §§ 209-210).</w:t>
      </w:r>
    </w:p>
    <w:p w:rsidR="00BE58E3" w:rsidRDefault="00BE58E3" w:rsidP="00901B81">
      <w:pPr>
        <w:spacing w:after="0" w:line="240" w:lineRule="auto"/>
        <w:ind w:firstLine="567"/>
        <w:jc w:val="both"/>
        <w:rPr>
          <w:rFonts w:asciiTheme="majorBidi" w:hAnsiTheme="majorBidi" w:cstheme="majorBidi"/>
          <w:sz w:val="24"/>
          <w:szCs w:val="24"/>
        </w:rPr>
      </w:pPr>
      <w:r w:rsidRPr="000D2F84">
        <w:rPr>
          <w:rFonts w:asciiTheme="majorBidi" w:hAnsiTheme="majorBidi" w:cstheme="majorBidi"/>
          <w:sz w:val="24"/>
          <w:szCs w:val="24"/>
          <w:lang w:val="en-US"/>
        </w:rPr>
        <w:t>Однак ці статті не є єдиними, за якими у</w:t>
      </w:r>
      <w:r w:rsidRPr="00901B81">
        <w:rPr>
          <w:rFonts w:asciiTheme="majorBidi" w:hAnsiTheme="majorBidi" w:cstheme="majorBidi"/>
          <w:sz w:val="24"/>
          <w:szCs w:val="24"/>
        </w:rPr>
        <w:t xml:space="preserve"> держави існують </w:t>
      </w:r>
      <w:r w:rsidR="000E3D50" w:rsidRPr="00901B81">
        <w:rPr>
          <w:rFonts w:asciiTheme="majorBidi" w:hAnsiTheme="majorBidi" w:cstheme="majorBidi"/>
          <w:sz w:val="24"/>
          <w:szCs w:val="24"/>
        </w:rPr>
        <w:t xml:space="preserve">процесуальні </w:t>
      </w:r>
      <w:r w:rsidR="00C12BBF" w:rsidRPr="00901B81">
        <w:rPr>
          <w:rFonts w:asciiTheme="majorBidi" w:hAnsiTheme="majorBidi" w:cstheme="majorBidi"/>
          <w:sz w:val="24"/>
          <w:szCs w:val="24"/>
        </w:rPr>
        <w:t>зобов’язання</w:t>
      </w:r>
      <w:r w:rsidRPr="00901B81">
        <w:rPr>
          <w:rFonts w:asciiTheme="majorBidi" w:hAnsiTheme="majorBidi" w:cstheme="majorBidi"/>
          <w:sz w:val="24"/>
          <w:szCs w:val="24"/>
        </w:rPr>
        <w:t xml:space="preserve">. У справі С.М. проти Хорватії, розглянутій Великою Палатою, Ксенія </w:t>
      </w:r>
      <w:proofErr w:type="spellStart"/>
      <w:r w:rsidRPr="00901B81">
        <w:rPr>
          <w:rFonts w:asciiTheme="majorBidi" w:hAnsiTheme="majorBidi" w:cstheme="majorBidi"/>
          <w:sz w:val="24"/>
          <w:szCs w:val="24"/>
        </w:rPr>
        <w:t>Туркович</w:t>
      </w:r>
      <w:proofErr w:type="spellEnd"/>
      <w:r w:rsidRPr="00901B81">
        <w:rPr>
          <w:rFonts w:asciiTheme="majorBidi" w:hAnsiTheme="majorBidi" w:cstheme="majorBidi"/>
          <w:sz w:val="24"/>
          <w:szCs w:val="24"/>
        </w:rPr>
        <w:t xml:space="preserve"> – Хорватська суддя, яка на той час обіймала посаду віце-президента Суду, </w:t>
      </w:r>
      <w:r w:rsidR="009D16A2" w:rsidRPr="00901B81">
        <w:rPr>
          <w:rFonts w:asciiTheme="majorBidi" w:hAnsiTheme="majorBidi" w:cstheme="majorBidi"/>
          <w:sz w:val="24"/>
          <w:szCs w:val="24"/>
        </w:rPr>
        <w:t xml:space="preserve">написала окрему думку згоди, де зазначила, що критерії ефективності розслідування мають бути однаковими щодо всіх статей (а не тільки статей 2, 3 і 4) Конвенції. Розшифровуючи сказане, вона, однак, акцентувала на тому, що мова йде про «серйозні» порушення </w:t>
      </w:r>
      <w:r w:rsidR="00DF2396" w:rsidRPr="00901B81">
        <w:rPr>
          <w:rFonts w:asciiTheme="majorBidi" w:hAnsiTheme="majorBidi" w:cstheme="majorBidi"/>
          <w:sz w:val="24"/>
          <w:szCs w:val="24"/>
        </w:rPr>
        <w:t xml:space="preserve">і зазначила, що раніше </w:t>
      </w:r>
      <w:r w:rsidR="00AC017B" w:rsidRPr="00901B81">
        <w:rPr>
          <w:rFonts w:asciiTheme="majorBidi" w:hAnsiTheme="majorBidi" w:cstheme="majorBidi"/>
          <w:sz w:val="24"/>
          <w:szCs w:val="24"/>
        </w:rPr>
        <w:t xml:space="preserve">Суд встановлював порушення </w:t>
      </w:r>
      <w:r w:rsidR="00DF2396" w:rsidRPr="00901B81">
        <w:rPr>
          <w:rFonts w:asciiTheme="majorBidi" w:hAnsiTheme="majorBidi" w:cstheme="majorBidi"/>
          <w:sz w:val="24"/>
          <w:szCs w:val="24"/>
        </w:rPr>
        <w:t>обов’язку</w:t>
      </w:r>
      <w:r w:rsidR="00AC017B" w:rsidRPr="00901B81">
        <w:rPr>
          <w:rFonts w:asciiTheme="majorBidi" w:hAnsiTheme="majorBidi" w:cstheme="majorBidi"/>
          <w:sz w:val="24"/>
          <w:szCs w:val="24"/>
        </w:rPr>
        <w:t xml:space="preserve"> щодо проведення розслідування</w:t>
      </w:r>
      <w:r w:rsidR="00DF2396" w:rsidRPr="00901B81">
        <w:rPr>
          <w:rFonts w:asciiTheme="majorBidi" w:hAnsiTheme="majorBidi" w:cstheme="majorBidi"/>
          <w:sz w:val="24"/>
          <w:szCs w:val="24"/>
        </w:rPr>
        <w:t xml:space="preserve"> за статтями </w:t>
      </w:r>
      <w:r w:rsidR="00AC017B" w:rsidRPr="00901B81">
        <w:rPr>
          <w:rFonts w:asciiTheme="majorBidi" w:hAnsiTheme="majorBidi" w:cstheme="majorBidi"/>
          <w:sz w:val="24"/>
          <w:szCs w:val="24"/>
        </w:rPr>
        <w:t>5</w:t>
      </w:r>
      <w:r w:rsidR="00DF2396" w:rsidRPr="00901B81">
        <w:t>,</w:t>
      </w:r>
      <w:r w:rsidR="00DF2396" w:rsidRPr="00901B81">
        <w:rPr>
          <w:rFonts w:asciiTheme="majorBidi" w:hAnsiTheme="majorBidi" w:cstheme="majorBidi"/>
          <w:sz w:val="24"/>
          <w:szCs w:val="24"/>
        </w:rPr>
        <w:t xml:space="preserve"> 8, 9, 10, 11, 14, статті 1 Протоколу</w:t>
      </w:r>
      <w:r w:rsidR="00DF2396" w:rsidRPr="00901B81">
        <w:rPr>
          <w:rFonts w:asciiTheme="majorBidi" w:hAnsiTheme="majorBidi" w:cstheme="majorBidi"/>
          <w:sz w:val="24"/>
          <w:szCs w:val="24"/>
          <w:lang w:val="ru-RU"/>
        </w:rPr>
        <w:t xml:space="preserve"> 1 до Конвенції</w:t>
      </w:r>
      <w:r w:rsidR="00901B81" w:rsidRPr="00901B81">
        <w:rPr>
          <w:rFonts w:asciiTheme="majorBidi" w:hAnsiTheme="majorBidi" w:cstheme="majorBidi"/>
          <w:sz w:val="24"/>
          <w:szCs w:val="24"/>
          <w:lang w:val="ru-RU"/>
        </w:rPr>
        <w:t xml:space="preserve"> (S.M. v. </w:t>
      </w:r>
      <w:proofErr w:type="gramStart"/>
      <w:r w:rsidR="00901B81" w:rsidRPr="00901B81">
        <w:rPr>
          <w:rFonts w:asciiTheme="majorBidi" w:hAnsiTheme="majorBidi" w:cstheme="majorBidi"/>
          <w:sz w:val="24"/>
          <w:szCs w:val="24"/>
          <w:lang w:val="ru-RU"/>
        </w:rPr>
        <w:t xml:space="preserve">Croatia [GC], concurring opinion of Judge </w:t>
      </w:r>
      <w:proofErr w:type="spellStart"/>
      <w:r w:rsidR="00901B81" w:rsidRPr="00901B81">
        <w:rPr>
          <w:rFonts w:asciiTheme="majorBidi" w:hAnsiTheme="majorBidi" w:cstheme="majorBidi"/>
          <w:sz w:val="24"/>
          <w:szCs w:val="24"/>
          <w:lang w:val="ru-RU"/>
        </w:rPr>
        <w:t>Turkovic</w:t>
      </w:r>
      <w:proofErr w:type="spellEnd"/>
      <w:r w:rsidR="00901B81" w:rsidRPr="00901B81">
        <w:rPr>
          <w:rFonts w:asciiTheme="majorBidi" w:hAnsiTheme="majorBidi" w:cstheme="majorBidi"/>
          <w:sz w:val="24"/>
          <w:szCs w:val="24"/>
          <w:lang w:val="ru-RU"/>
        </w:rPr>
        <w:t>)</w:t>
      </w:r>
      <w:r w:rsidR="00DF2396" w:rsidRPr="00901B81">
        <w:rPr>
          <w:rFonts w:asciiTheme="majorBidi" w:hAnsiTheme="majorBidi" w:cstheme="majorBidi"/>
          <w:sz w:val="24"/>
          <w:szCs w:val="24"/>
          <w:lang w:val="ru-RU"/>
        </w:rPr>
        <w:t>.</w:t>
      </w:r>
      <w:proofErr w:type="gramEnd"/>
    </w:p>
    <w:p w:rsidR="00A010BE" w:rsidRPr="00DF2396" w:rsidRDefault="00A010BE" w:rsidP="00DF2396">
      <w:pPr>
        <w:spacing w:after="0" w:line="240" w:lineRule="auto"/>
        <w:ind w:firstLine="567"/>
        <w:jc w:val="both"/>
        <w:rPr>
          <w:rFonts w:asciiTheme="majorBidi" w:hAnsiTheme="majorBidi" w:cstheme="majorBidi"/>
          <w:sz w:val="24"/>
          <w:szCs w:val="24"/>
        </w:rPr>
      </w:pPr>
      <w:r w:rsidRPr="00A010BE">
        <w:rPr>
          <w:rFonts w:asciiTheme="majorBidi" w:hAnsiTheme="majorBidi" w:cstheme="majorBidi"/>
          <w:i/>
          <w:iCs/>
          <w:sz w:val="24"/>
          <w:szCs w:val="24"/>
        </w:rPr>
        <w:t>Виникнення процесуального зобов’язання</w:t>
      </w:r>
      <w:r>
        <w:rPr>
          <w:rFonts w:asciiTheme="majorBidi" w:hAnsiTheme="majorBidi" w:cstheme="majorBidi"/>
          <w:sz w:val="24"/>
          <w:szCs w:val="24"/>
        </w:rPr>
        <w:t xml:space="preserve">. Варто зазначити, що обов’язок провести ефективне розслідування виникає не тільки у випадку надходження до правоохоронних органів повідомлення про злочин. </w:t>
      </w:r>
      <w:r w:rsidR="00437A34">
        <w:rPr>
          <w:rFonts w:asciiTheme="majorBidi" w:hAnsiTheme="majorBidi" w:cstheme="majorBidi"/>
          <w:sz w:val="24"/>
          <w:szCs w:val="24"/>
        </w:rPr>
        <w:t>Таке зобов’язання також виникає за наявності ознак, що вказують на вчинення злочину. При цьому, якщо до правоохоронних органів надходить повідомлення про злочин без підтверджуючих доказів, процесуальне зобов’язання щодо проведення ефективного розслідування так само виникає.</w:t>
      </w:r>
    </w:p>
    <w:p w:rsidR="00E65196" w:rsidRPr="000D2F84" w:rsidRDefault="00925247" w:rsidP="00901B81">
      <w:pPr>
        <w:spacing w:after="0" w:line="240" w:lineRule="auto"/>
        <w:ind w:firstLine="567"/>
        <w:jc w:val="both"/>
        <w:rPr>
          <w:rFonts w:asciiTheme="majorBidi" w:hAnsiTheme="majorBidi" w:cstheme="majorBidi"/>
          <w:sz w:val="24"/>
          <w:szCs w:val="24"/>
        </w:rPr>
      </w:pPr>
      <w:r w:rsidRPr="00DF2396">
        <w:rPr>
          <w:rFonts w:asciiTheme="majorBidi" w:hAnsiTheme="majorBidi" w:cstheme="majorBidi"/>
          <w:i/>
          <w:iCs/>
          <w:sz w:val="24"/>
          <w:szCs w:val="24"/>
        </w:rPr>
        <w:lastRenderedPageBreak/>
        <w:t xml:space="preserve">Зміст </w:t>
      </w:r>
      <w:r w:rsidRPr="000D2F84">
        <w:rPr>
          <w:rFonts w:asciiTheme="majorBidi" w:hAnsiTheme="majorBidi" w:cstheme="majorBidi"/>
          <w:i/>
          <w:iCs/>
          <w:sz w:val="24"/>
          <w:szCs w:val="24"/>
        </w:rPr>
        <w:t>процесуальн</w:t>
      </w:r>
      <w:r w:rsidR="00E34899" w:rsidRPr="000D2F84">
        <w:rPr>
          <w:rFonts w:asciiTheme="majorBidi" w:hAnsiTheme="majorBidi" w:cstheme="majorBidi"/>
          <w:i/>
          <w:iCs/>
          <w:sz w:val="24"/>
          <w:szCs w:val="24"/>
        </w:rPr>
        <w:t>их</w:t>
      </w:r>
      <w:r w:rsidRPr="000D2F84">
        <w:rPr>
          <w:rFonts w:asciiTheme="majorBidi" w:hAnsiTheme="majorBidi" w:cstheme="majorBidi"/>
          <w:i/>
          <w:iCs/>
          <w:sz w:val="24"/>
          <w:szCs w:val="24"/>
        </w:rPr>
        <w:t xml:space="preserve"> зобов’язан</w:t>
      </w:r>
      <w:r w:rsidR="00E34899" w:rsidRPr="000D2F84">
        <w:rPr>
          <w:rFonts w:asciiTheme="majorBidi" w:hAnsiTheme="majorBidi" w:cstheme="majorBidi"/>
          <w:i/>
          <w:iCs/>
          <w:sz w:val="24"/>
          <w:szCs w:val="24"/>
        </w:rPr>
        <w:t>ь</w:t>
      </w:r>
      <w:r w:rsidR="00A85B9A" w:rsidRPr="000D2F84">
        <w:rPr>
          <w:rFonts w:asciiTheme="majorBidi" w:hAnsiTheme="majorBidi" w:cstheme="majorBidi"/>
          <w:i/>
          <w:iCs/>
          <w:sz w:val="24"/>
          <w:szCs w:val="24"/>
        </w:rPr>
        <w:t xml:space="preserve"> у контексті збройного конфлікту.</w:t>
      </w:r>
      <w:r w:rsidR="007C457F" w:rsidRPr="000D2F84">
        <w:rPr>
          <w:rFonts w:asciiTheme="majorBidi" w:hAnsiTheme="majorBidi" w:cstheme="majorBidi"/>
          <w:sz w:val="24"/>
          <w:szCs w:val="24"/>
        </w:rPr>
        <w:t xml:space="preserve"> Обов’язок держави розслідувати порушення є зобов’язанням засобів, а не результату (</w:t>
      </w:r>
      <w:proofErr w:type="spellStart"/>
      <w:r w:rsidR="007C457F" w:rsidRPr="000D2F84">
        <w:rPr>
          <w:rFonts w:asciiTheme="majorBidi" w:hAnsiTheme="majorBidi" w:cstheme="majorBidi"/>
          <w:sz w:val="24"/>
          <w:szCs w:val="24"/>
        </w:rPr>
        <w:t>“obligation</w:t>
      </w:r>
      <w:proofErr w:type="spellEnd"/>
      <w:r w:rsidR="007C457F" w:rsidRPr="000D2F84">
        <w:rPr>
          <w:rFonts w:asciiTheme="majorBidi" w:hAnsiTheme="majorBidi" w:cstheme="majorBidi"/>
          <w:sz w:val="24"/>
          <w:szCs w:val="24"/>
        </w:rPr>
        <w:t xml:space="preserve"> </w:t>
      </w:r>
      <w:proofErr w:type="spellStart"/>
      <w:r w:rsidR="007C457F" w:rsidRPr="000D2F84">
        <w:rPr>
          <w:rFonts w:asciiTheme="majorBidi" w:hAnsiTheme="majorBidi" w:cstheme="majorBidi"/>
          <w:sz w:val="24"/>
          <w:szCs w:val="24"/>
        </w:rPr>
        <w:t>of</w:t>
      </w:r>
      <w:proofErr w:type="spellEnd"/>
      <w:r w:rsidR="007C457F" w:rsidRPr="000D2F84">
        <w:rPr>
          <w:rFonts w:asciiTheme="majorBidi" w:hAnsiTheme="majorBidi" w:cstheme="majorBidi"/>
          <w:sz w:val="24"/>
          <w:szCs w:val="24"/>
        </w:rPr>
        <w:t xml:space="preserve"> </w:t>
      </w:r>
      <w:proofErr w:type="spellStart"/>
      <w:r w:rsidR="007C457F" w:rsidRPr="000D2F84">
        <w:rPr>
          <w:rFonts w:asciiTheme="majorBidi" w:hAnsiTheme="majorBidi" w:cstheme="majorBidi"/>
          <w:sz w:val="24"/>
          <w:szCs w:val="24"/>
        </w:rPr>
        <w:t>means</w:t>
      </w:r>
      <w:proofErr w:type="spellEnd"/>
      <w:r w:rsidR="007C457F" w:rsidRPr="000D2F84">
        <w:rPr>
          <w:rFonts w:asciiTheme="majorBidi" w:hAnsiTheme="majorBidi" w:cstheme="majorBidi"/>
          <w:sz w:val="24"/>
          <w:szCs w:val="24"/>
        </w:rPr>
        <w:t xml:space="preserve">, </w:t>
      </w:r>
      <w:proofErr w:type="spellStart"/>
      <w:r w:rsidR="007C457F" w:rsidRPr="000D2F84">
        <w:rPr>
          <w:rFonts w:asciiTheme="majorBidi" w:hAnsiTheme="majorBidi" w:cstheme="majorBidi"/>
          <w:sz w:val="24"/>
          <w:szCs w:val="24"/>
        </w:rPr>
        <w:t>and</w:t>
      </w:r>
      <w:proofErr w:type="spellEnd"/>
      <w:r w:rsidR="007C457F" w:rsidRPr="000D2F84">
        <w:rPr>
          <w:rFonts w:asciiTheme="majorBidi" w:hAnsiTheme="majorBidi" w:cstheme="majorBidi"/>
          <w:sz w:val="24"/>
          <w:szCs w:val="24"/>
        </w:rPr>
        <w:t xml:space="preserve"> </w:t>
      </w:r>
      <w:proofErr w:type="spellStart"/>
      <w:r w:rsidR="007C457F" w:rsidRPr="000D2F84">
        <w:rPr>
          <w:rFonts w:asciiTheme="majorBidi" w:hAnsiTheme="majorBidi" w:cstheme="majorBidi"/>
          <w:sz w:val="24"/>
          <w:szCs w:val="24"/>
        </w:rPr>
        <w:t>not</w:t>
      </w:r>
      <w:proofErr w:type="spellEnd"/>
      <w:r w:rsidR="007C457F" w:rsidRPr="000D2F84">
        <w:rPr>
          <w:rFonts w:asciiTheme="majorBidi" w:hAnsiTheme="majorBidi" w:cstheme="majorBidi"/>
          <w:sz w:val="24"/>
          <w:szCs w:val="24"/>
        </w:rPr>
        <w:t xml:space="preserve"> </w:t>
      </w:r>
      <w:proofErr w:type="spellStart"/>
      <w:r w:rsidR="007C457F" w:rsidRPr="000D2F84">
        <w:rPr>
          <w:rFonts w:asciiTheme="majorBidi" w:hAnsiTheme="majorBidi" w:cstheme="majorBidi"/>
          <w:sz w:val="24"/>
          <w:szCs w:val="24"/>
        </w:rPr>
        <w:t>of</w:t>
      </w:r>
      <w:proofErr w:type="spellEnd"/>
      <w:r w:rsidR="007C457F" w:rsidRPr="000D2F84">
        <w:rPr>
          <w:rFonts w:asciiTheme="majorBidi" w:hAnsiTheme="majorBidi" w:cstheme="majorBidi"/>
          <w:sz w:val="24"/>
          <w:szCs w:val="24"/>
        </w:rPr>
        <w:t xml:space="preserve"> </w:t>
      </w:r>
      <w:proofErr w:type="spellStart"/>
      <w:r w:rsidR="007C457F" w:rsidRPr="000D2F84">
        <w:rPr>
          <w:rFonts w:asciiTheme="majorBidi" w:hAnsiTheme="majorBidi" w:cstheme="majorBidi"/>
          <w:sz w:val="24"/>
          <w:szCs w:val="24"/>
        </w:rPr>
        <w:t>result</w:t>
      </w:r>
      <w:r w:rsidR="000D2F84" w:rsidRPr="000D2F84">
        <w:rPr>
          <w:rFonts w:asciiTheme="majorBidi" w:hAnsiTheme="majorBidi" w:cstheme="majorBidi"/>
          <w:sz w:val="24"/>
          <w:szCs w:val="24"/>
        </w:rPr>
        <w:t>”</w:t>
      </w:r>
      <w:proofErr w:type="spellEnd"/>
      <w:r w:rsidR="000D2F84" w:rsidRPr="000D2F84">
        <w:rPr>
          <w:rFonts w:asciiTheme="majorBidi" w:hAnsiTheme="majorBidi" w:cstheme="majorBidi"/>
          <w:sz w:val="24"/>
          <w:szCs w:val="24"/>
        </w:rPr>
        <w:t>)</w:t>
      </w:r>
      <w:r w:rsidR="007C457F" w:rsidRPr="000D2F84">
        <w:rPr>
          <w:rFonts w:asciiTheme="majorBidi" w:hAnsiTheme="majorBidi" w:cstheme="majorBidi"/>
          <w:sz w:val="24"/>
          <w:szCs w:val="24"/>
        </w:rPr>
        <w:t>. Таким чином, недосягнення розслідуванням результату, бажаного для заявника, не буде мати значення для оцінки ефективності розслідування Європейським судом з прав людини. Натомість Суд у своїй оцінці визначає</w:t>
      </w:r>
      <w:r w:rsidR="00710E66" w:rsidRPr="000D2F84">
        <w:rPr>
          <w:rFonts w:asciiTheme="majorBidi" w:hAnsiTheme="majorBidi" w:cstheme="majorBidi"/>
          <w:sz w:val="24"/>
          <w:szCs w:val="24"/>
        </w:rPr>
        <w:t>, ч</w:t>
      </w:r>
      <w:r w:rsidR="007C457F" w:rsidRPr="000D2F84">
        <w:rPr>
          <w:rFonts w:asciiTheme="majorBidi" w:hAnsiTheme="majorBidi" w:cstheme="majorBidi"/>
          <w:sz w:val="24"/>
          <w:szCs w:val="24"/>
        </w:rPr>
        <w:t xml:space="preserve">и було розслідування незалежним, </w:t>
      </w:r>
      <w:r w:rsidR="00F84C1C" w:rsidRPr="000D2F84">
        <w:rPr>
          <w:rFonts w:asciiTheme="majorBidi" w:hAnsiTheme="majorBidi" w:cstheme="majorBidi"/>
          <w:sz w:val="24"/>
          <w:szCs w:val="24"/>
        </w:rPr>
        <w:t>адекватним (</w:t>
      </w:r>
      <w:r w:rsidR="007C457F" w:rsidRPr="000D2F84">
        <w:rPr>
          <w:rFonts w:asciiTheme="majorBidi" w:hAnsiTheme="majorBidi" w:cstheme="majorBidi"/>
          <w:sz w:val="24"/>
          <w:szCs w:val="24"/>
        </w:rPr>
        <w:t>ретельним</w:t>
      </w:r>
      <w:r w:rsidR="00F84C1C" w:rsidRPr="000D2F84">
        <w:rPr>
          <w:rFonts w:asciiTheme="majorBidi" w:hAnsiTheme="majorBidi" w:cstheme="majorBidi"/>
          <w:sz w:val="24"/>
          <w:szCs w:val="24"/>
        </w:rPr>
        <w:t>)</w:t>
      </w:r>
      <w:r w:rsidR="007C457F" w:rsidRPr="000D2F84">
        <w:rPr>
          <w:rFonts w:asciiTheme="majorBidi" w:hAnsiTheme="majorBidi" w:cstheme="majorBidi"/>
          <w:sz w:val="24"/>
          <w:szCs w:val="24"/>
        </w:rPr>
        <w:t xml:space="preserve">, </w:t>
      </w:r>
      <w:r w:rsidR="00DB2B6D" w:rsidRPr="000D2F84">
        <w:rPr>
          <w:rFonts w:asciiTheme="majorBidi" w:hAnsiTheme="majorBidi" w:cstheme="majorBidi"/>
          <w:sz w:val="24"/>
          <w:szCs w:val="24"/>
        </w:rPr>
        <w:t>оперативним</w:t>
      </w:r>
      <w:r w:rsidR="007C457F" w:rsidRPr="000D2F84">
        <w:rPr>
          <w:rFonts w:asciiTheme="majorBidi" w:hAnsiTheme="majorBidi" w:cstheme="majorBidi"/>
          <w:sz w:val="24"/>
          <w:szCs w:val="24"/>
        </w:rPr>
        <w:t>, чи здійснюв</w:t>
      </w:r>
      <w:r w:rsidR="004F0D6F" w:rsidRPr="000D2F84">
        <w:rPr>
          <w:rFonts w:asciiTheme="majorBidi" w:hAnsiTheme="majorBidi" w:cstheme="majorBidi"/>
          <w:sz w:val="24"/>
          <w:szCs w:val="24"/>
        </w:rPr>
        <w:t xml:space="preserve">ався над ним громадський </w:t>
      </w:r>
      <w:r w:rsidR="00B51B60" w:rsidRPr="000D2F84">
        <w:rPr>
          <w:rFonts w:asciiTheme="majorBidi" w:hAnsiTheme="majorBidi" w:cstheme="majorBidi"/>
          <w:sz w:val="24"/>
          <w:szCs w:val="24"/>
        </w:rPr>
        <w:t>контроль</w:t>
      </w:r>
      <w:r w:rsidR="007C457F" w:rsidRPr="000D2F84">
        <w:rPr>
          <w:rFonts w:asciiTheme="majorBidi" w:hAnsiTheme="majorBidi" w:cstheme="majorBidi"/>
          <w:sz w:val="24"/>
          <w:szCs w:val="24"/>
        </w:rPr>
        <w:t xml:space="preserve"> і чи бу</w:t>
      </w:r>
      <w:r w:rsidR="00710E66" w:rsidRPr="000D2F84">
        <w:rPr>
          <w:rFonts w:asciiTheme="majorBidi" w:hAnsiTheme="majorBidi" w:cstheme="majorBidi"/>
          <w:sz w:val="24"/>
          <w:szCs w:val="24"/>
        </w:rPr>
        <w:t>в до нього залучений потерпілий</w:t>
      </w:r>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Guide</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on</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Article</w:t>
      </w:r>
      <w:proofErr w:type="spellEnd"/>
      <w:r w:rsidR="00A2631B" w:rsidRPr="000D2F84">
        <w:rPr>
          <w:rFonts w:asciiTheme="majorBidi" w:hAnsiTheme="majorBidi" w:cstheme="majorBidi"/>
          <w:sz w:val="24"/>
          <w:szCs w:val="24"/>
        </w:rPr>
        <w:t xml:space="preserve"> 2 </w:t>
      </w:r>
      <w:proofErr w:type="spellStart"/>
      <w:r w:rsidR="00A2631B" w:rsidRPr="000D2F84">
        <w:rPr>
          <w:rFonts w:asciiTheme="majorBidi" w:hAnsiTheme="majorBidi" w:cstheme="majorBidi"/>
          <w:sz w:val="24"/>
          <w:szCs w:val="24"/>
        </w:rPr>
        <w:t>of</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the</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European</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Convention</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of</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Human</w:t>
      </w:r>
      <w:proofErr w:type="spellEnd"/>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sz w:val="24"/>
          <w:szCs w:val="24"/>
        </w:rPr>
        <w:t>Rights</w:t>
      </w:r>
      <w:proofErr w:type="spellEnd"/>
      <w:r w:rsidR="00A2631B" w:rsidRPr="000D2F84">
        <w:rPr>
          <w:rFonts w:asciiTheme="majorBidi" w:hAnsiTheme="majorBidi" w:cstheme="majorBidi"/>
          <w:sz w:val="24"/>
          <w:szCs w:val="24"/>
        </w:rPr>
        <w:t>)</w:t>
      </w:r>
      <w:r w:rsidR="00710E66" w:rsidRPr="000D2F84">
        <w:rPr>
          <w:rFonts w:asciiTheme="majorBidi" w:hAnsiTheme="majorBidi" w:cstheme="majorBidi"/>
          <w:sz w:val="24"/>
          <w:szCs w:val="24"/>
        </w:rPr>
        <w:t>.</w:t>
      </w:r>
      <w:r w:rsidR="00F029DD" w:rsidRPr="000D2F84">
        <w:rPr>
          <w:rFonts w:asciiTheme="majorBidi" w:hAnsiTheme="majorBidi" w:cstheme="majorBidi"/>
          <w:sz w:val="24"/>
          <w:szCs w:val="24"/>
        </w:rPr>
        <w:t xml:space="preserve"> Хоча ці критерії є взаємопов’язаними і кожен з них не є самоціллю</w:t>
      </w:r>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rPr>
        <w:t>Hanan</w:t>
      </w:r>
      <w:proofErr w:type="spellEnd"/>
      <w:r w:rsidR="00A2631B" w:rsidRPr="000D2F84">
        <w:rPr>
          <w:rFonts w:asciiTheme="majorBidi" w:hAnsiTheme="majorBidi" w:cstheme="majorBidi"/>
        </w:rPr>
        <w:t xml:space="preserve"> v. </w:t>
      </w:r>
      <w:proofErr w:type="spellStart"/>
      <w:r w:rsidR="00A2631B" w:rsidRPr="000D2F84">
        <w:rPr>
          <w:rFonts w:asciiTheme="majorBidi" w:hAnsiTheme="majorBidi" w:cstheme="majorBidi"/>
        </w:rPr>
        <w:t>Germany</w:t>
      </w:r>
      <w:proofErr w:type="spellEnd"/>
      <w:r w:rsidR="00A2631B" w:rsidRPr="000D2F84">
        <w:rPr>
          <w:rFonts w:asciiTheme="majorBidi" w:hAnsiTheme="majorBidi" w:cstheme="majorBidi"/>
        </w:rPr>
        <w:t xml:space="preserve"> [GC], § 209)</w:t>
      </w:r>
      <w:r w:rsidR="00F029DD" w:rsidRPr="000D2F84">
        <w:rPr>
          <w:rFonts w:asciiTheme="majorBidi" w:hAnsiTheme="majorBidi" w:cstheme="majorBidi"/>
          <w:sz w:val="24"/>
          <w:szCs w:val="24"/>
        </w:rPr>
        <w:t>, Суд, перш ніж зробити висновок про ефективність розслідування в цілому, оцінює відповідність розслідування кожному з них окремо.</w:t>
      </w:r>
      <w:r w:rsidR="00F84C1C" w:rsidRPr="000D2F84">
        <w:rPr>
          <w:rFonts w:asciiTheme="majorBidi" w:hAnsiTheme="majorBidi" w:cstheme="majorBidi"/>
          <w:sz w:val="24"/>
          <w:szCs w:val="24"/>
        </w:rPr>
        <w:t xml:space="preserve"> Суддя </w:t>
      </w:r>
      <w:proofErr w:type="spellStart"/>
      <w:r w:rsidR="00F84C1C" w:rsidRPr="000D2F84">
        <w:rPr>
          <w:rFonts w:asciiTheme="majorBidi" w:hAnsiTheme="majorBidi" w:cstheme="majorBidi"/>
          <w:sz w:val="24"/>
          <w:szCs w:val="24"/>
        </w:rPr>
        <w:t>Туркович</w:t>
      </w:r>
      <w:proofErr w:type="spellEnd"/>
      <w:r w:rsidR="00F84C1C" w:rsidRPr="000D2F84">
        <w:rPr>
          <w:rFonts w:asciiTheme="majorBidi" w:hAnsiTheme="majorBidi" w:cstheme="majorBidi"/>
          <w:sz w:val="24"/>
          <w:szCs w:val="24"/>
        </w:rPr>
        <w:t xml:space="preserve"> в окремій думці згоди до рішення у вищезгаданій справі С.М. проти Хорватії зазначила, що критерії ефективності розслідування мають бути однаковими для всіх статей Конвенції [</w:t>
      </w:r>
      <w:r w:rsidR="00901B81" w:rsidRPr="000D2F84">
        <w:rPr>
          <w:rFonts w:asciiTheme="majorBidi" w:hAnsiTheme="majorBidi" w:cstheme="majorBidi"/>
          <w:sz w:val="24"/>
          <w:szCs w:val="24"/>
        </w:rPr>
        <w:t>S.M. v. </w:t>
      </w:r>
      <w:proofErr w:type="spellStart"/>
      <w:r w:rsidR="00901B81" w:rsidRPr="000D2F84">
        <w:rPr>
          <w:rFonts w:asciiTheme="majorBidi" w:hAnsiTheme="majorBidi" w:cstheme="majorBidi"/>
          <w:sz w:val="24"/>
          <w:szCs w:val="24"/>
        </w:rPr>
        <w:t>Croatia</w:t>
      </w:r>
      <w:proofErr w:type="spellEnd"/>
      <w:r w:rsidR="00901B81" w:rsidRPr="000D2F84">
        <w:rPr>
          <w:rFonts w:asciiTheme="majorBidi" w:hAnsiTheme="majorBidi" w:cstheme="majorBidi"/>
          <w:sz w:val="24"/>
          <w:szCs w:val="24"/>
        </w:rPr>
        <w:t xml:space="preserve"> [GC], </w:t>
      </w:r>
      <w:proofErr w:type="spellStart"/>
      <w:r w:rsidR="00901B81" w:rsidRPr="000D2F84">
        <w:rPr>
          <w:rFonts w:asciiTheme="majorBidi" w:hAnsiTheme="majorBidi" w:cstheme="majorBidi"/>
          <w:sz w:val="24"/>
          <w:szCs w:val="24"/>
        </w:rPr>
        <w:t>concurring</w:t>
      </w:r>
      <w:proofErr w:type="spellEnd"/>
      <w:r w:rsidR="00901B81" w:rsidRPr="000D2F84">
        <w:rPr>
          <w:rFonts w:asciiTheme="majorBidi" w:hAnsiTheme="majorBidi" w:cstheme="majorBidi"/>
          <w:sz w:val="24"/>
          <w:szCs w:val="24"/>
        </w:rPr>
        <w:t xml:space="preserve"> </w:t>
      </w:r>
      <w:proofErr w:type="spellStart"/>
      <w:r w:rsidR="00901B81" w:rsidRPr="000D2F84">
        <w:rPr>
          <w:rFonts w:asciiTheme="majorBidi" w:hAnsiTheme="majorBidi" w:cstheme="majorBidi"/>
          <w:sz w:val="24"/>
          <w:szCs w:val="24"/>
        </w:rPr>
        <w:t>opinion</w:t>
      </w:r>
      <w:proofErr w:type="spellEnd"/>
      <w:r w:rsidR="00901B81" w:rsidRPr="000D2F84">
        <w:rPr>
          <w:rFonts w:asciiTheme="majorBidi" w:hAnsiTheme="majorBidi" w:cstheme="majorBidi"/>
          <w:sz w:val="24"/>
          <w:szCs w:val="24"/>
        </w:rPr>
        <w:t xml:space="preserve"> </w:t>
      </w:r>
      <w:proofErr w:type="spellStart"/>
      <w:r w:rsidR="00901B81" w:rsidRPr="000D2F84">
        <w:rPr>
          <w:rFonts w:asciiTheme="majorBidi" w:hAnsiTheme="majorBidi" w:cstheme="majorBidi"/>
          <w:sz w:val="24"/>
          <w:szCs w:val="24"/>
        </w:rPr>
        <w:t>of</w:t>
      </w:r>
      <w:proofErr w:type="spellEnd"/>
      <w:r w:rsidR="00901B81" w:rsidRPr="000D2F84">
        <w:rPr>
          <w:rFonts w:asciiTheme="majorBidi" w:hAnsiTheme="majorBidi" w:cstheme="majorBidi"/>
          <w:sz w:val="24"/>
          <w:szCs w:val="24"/>
        </w:rPr>
        <w:t xml:space="preserve"> </w:t>
      </w:r>
      <w:proofErr w:type="spellStart"/>
      <w:r w:rsidR="00901B81" w:rsidRPr="000D2F84">
        <w:rPr>
          <w:rFonts w:asciiTheme="majorBidi" w:hAnsiTheme="majorBidi" w:cstheme="majorBidi"/>
          <w:sz w:val="24"/>
          <w:szCs w:val="24"/>
        </w:rPr>
        <w:t>Judge</w:t>
      </w:r>
      <w:proofErr w:type="spellEnd"/>
      <w:r w:rsidR="00901B81" w:rsidRPr="000D2F84">
        <w:rPr>
          <w:rFonts w:asciiTheme="majorBidi" w:hAnsiTheme="majorBidi" w:cstheme="majorBidi"/>
          <w:sz w:val="24"/>
          <w:szCs w:val="24"/>
        </w:rPr>
        <w:t xml:space="preserve"> </w:t>
      </w:r>
      <w:proofErr w:type="spellStart"/>
      <w:r w:rsidR="00901B81" w:rsidRPr="000D2F84">
        <w:rPr>
          <w:rFonts w:asciiTheme="majorBidi" w:hAnsiTheme="majorBidi" w:cstheme="majorBidi"/>
          <w:sz w:val="24"/>
          <w:szCs w:val="24"/>
        </w:rPr>
        <w:t>Turkovic</w:t>
      </w:r>
      <w:proofErr w:type="spellEnd"/>
      <w:r w:rsidR="00901B81" w:rsidRPr="000D2F84">
        <w:rPr>
          <w:rFonts w:asciiTheme="majorBidi" w:hAnsiTheme="majorBidi" w:cstheme="majorBidi"/>
          <w:sz w:val="24"/>
          <w:szCs w:val="24"/>
        </w:rPr>
        <w:t>)</w:t>
      </w:r>
      <w:r w:rsidR="00F84C1C" w:rsidRPr="000D2F84">
        <w:rPr>
          <w:rFonts w:asciiTheme="majorBidi" w:hAnsiTheme="majorBidi" w:cstheme="majorBidi"/>
          <w:sz w:val="24"/>
          <w:szCs w:val="24"/>
        </w:rPr>
        <w:t xml:space="preserve">. </w:t>
      </w:r>
      <w:r w:rsidR="004F0D6F" w:rsidRPr="000D2F84">
        <w:rPr>
          <w:rFonts w:asciiTheme="majorBidi" w:hAnsiTheme="majorBidi" w:cstheme="majorBidi"/>
          <w:sz w:val="24"/>
          <w:szCs w:val="24"/>
        </w:rPr>
        <w:t>Водночас варто наголосити, що для тяжких порушень</w:t>
      </w:r>
      <w:r w:rsidR="005E54F9" w:rsidRPr="000D2F84">
        <w:rPr>
          <w:rFonts w:asciiTheme="majorBidi" w:hAnsiTheme="majorBidi" w:cstheme="majorBidi"/>
          <w:sz w:val="24"/>
          <w:szCs w:val="24"/>
        </w:rPr>
        <w:t>, зокрема статей 2,</w:t>
      </w:r>
      <w:r w:rsidR="004F0D6F" w:rsidRPr="000D2F84">
        <w:rPr>
          <w:rFonts w:asciiTheme="majorBidi" w:hAnsiTheme="majorBidi" w:cstheme="majorBidi"/>
          <w:sz w:val="24"/>
          <w:szCs w:val="24"/>
        </w:rPr>
        <w:t xml:space="preserve"> 3 і 4 Конвенції, перевірка Суду відповідності розслідування кожному з перелічених критеріїв є особливо ретельною.</w:t>
      </w:r>
    </w:p>
    <w:p w:rsidR="00627D39" w:rsidRPr="000D2F84" w:rsidRDefault="004F0D6F" w:rsidP="00A2631B">
      <w:pPr>
        <w:spacing w:after="0" w:line="240" w:lineRule="auto"/>
        <w:ind w:firstLine="567"/>
        <w:jc w:val="both"/>
        <w:rPr>
          <w:rFonts w:asciiTheme="majorBidi" w:hAnsiTheme="majorBidi" w:cstheme="majorBidi"/>
          <w:sz w:val="24"/>
          <w:szCs w:val="24"/>
        </w:rPr>
      </w:pPr>
      <w:r w:rsidRPr="000D2F84">
        <w:rPr>
          <w:rFonts w:asciiTheme="majorBidi" w:hAnsiTheme="majorBidi" w:cstheme="majorBidi"/>
          <w:sz w:val="24"/>
          <w:szCs w:val="24"/>
        </w:rPr>
        <w:t>У</w:t>
      </w:r>
      <w:r w:rsidR="005E54F9" w:rsidRPr="000D2F84">
        <w:rPr>
          <w:rFonts w:asciiTheme="majorBidi" w:hAnsiTheme="majorBidi" w:cstheme="majorBidi"/>
          <w:sz w:val="24"/>
          <w:szCs w:val="24"/>
        </w:rPr>
        <w:t xml:space="preserve"> вищезгаданій</w:t>
      </w:r>
      <w:r w:rsidRPr="000D2F84">
        <w:rPr>
          <w:rFonts w:asciiTheme="majorBidi" w:hAnsiTheme="majorBidi" w:cstheme="majorBidi"/>
          <w:sz w:val="24"/>
          <w:szCs w:val="24"/>
        </w:rPr>
        <w:t xml:space="preserve"> справі </w:t>
      </w:r>
      <w:proofErr w:type="spellStart"/>
      <w:r w:rsidRPr="000D2F84">
        <w:rPr>
          <w:rFonts w:asciiTheme="majorBidi" w:hAnsiTheme="majorBidi" w:cstheme="majorBidi"/>
          <w:sz w:val="24"/>
          <w:szCs w:val="24"/>
        </w:rPr>
        <w:t>Ханан</w:t>
      </w:r>
      <w:proofErr w:type="spellEnd"/>
      <w:r w:rsidRPr="000D2F84">
        <w:rPr>
          <w:rFonts w:asciiTheme="majorBidi" w:hAnsiTheme="majorBidi" w:cstheme="majorBidi"/>
          <w:sz w:val="24"/>
          <w:szCs w:val="24"/>
        </w:rPr>
        <w:t xml:space="preserve"> проти Німеччини</w:t>
      </w:r>
      <w:r w:rsidR="005E54F9" w:rsidRPr="000D2F84">
        <w:rPr>
          <w:rFonts w:asciiTheme="majorBidi" w:hAnsiTheme="majorBidi" w:cstheme="majorBidi"/>
          <w:sz w:val="24"/>
          <w:szCs w:val="24"/>
        </w:rPr>
        <w:t xml:space="preserve"> уряди Франції, Норвегії та Великобританії, які втрутилися у справу у якості третіх сторін, висловили думку, що міжнародне гуманітарне право повинне застосовуватися як </w:t>
      </w:r>
      <w:proofErr w:type="spellStart"/>
      <w:r w:rsidR="005E54F9" w:rsidRPr="000D2F84">
        <w:rPr>
          <w:rFonts w:asciiTheme="majorBidi" w:hAnsiTheme="majorBidi" w:cstheme="majorBidi"/>
          <w:i/>
          <w:iCs/>
          <w:sz w:val="24"/>
          <w:szCs w:val="24"/>
        </w:rPr>
        <w:t>lex</w:t>
      </w:r>
      <w:proofErr w:type="spellEnd"/>
      <w:r w:rsidR="005E54F9" w:rsidRPr="000D2F84">
        <w:rPr>
          <w:rFonts w:asciiTheme="majorBidi" w:hAnsiTheme="majorBidi" w:cstheme="majorBidi"/>
          <w:i/>
          <w:iCs/>
          <w:sz w:val="24"/>
          <w:szCs w:val="24"/>
        </w:rPr>
        <w:t xml:space="preserve"> </w:t>
      </w:r>
      <w:proofErr w:type="spellStart"/>
      <w:r w:rsidR="005E54F9" w:rsidRPr="000D2F84">
        <w:rPr>
          <w:rFonts w:asciiTheme="majorBidi" w:hAnsiTheme="majorBidi" w:cstheme="majorBidi"/>
          <w:i/>
          <w:iCs/>
          <w:sz w:val="24"/>
          <w:szCs w:val="24"/>
        </w:rPr>
        <w:t>specialis</w:t>
      </w:r>
      <w:proofErr w:type="spellEnd"/>
      <w:r w:rsidR="005E54F9" w:rsidRPr="000D2F84">
        <w:rPr>
          <w:rFonts w:asciiTheme="majorBidi" w:hAnsiTheme="majorBidi" w:cstheme="majorBidi"/>
          <w:sz w:val="24"/>
          <w:szCs w:val="24"/>
        </w:rPr>
        <w:t xml:space="preserve"> не тільки щодо виникнення зобов’язання розслідувати порушення, але і щодо змісту цього зобов’язання. Уряд Великобританії наголошував, що стаття 6 Додаткового протоколу до Женевських конвенцій від 12 серпня 1949 року, що стосується захисту жертв збройних конфліктів </w:t>
      </w:r>
      <w:proofErr w:type="spellStart"/>
      <w:r w:rsidR="005E54F9" w:rsidRPr="000D2F84">
        <w:rPr>
          <w:rFonts w:asciiTheme="majorBidi" w:hAnsiTheme="majorBidi" w:cstheme="majorBidi"/>
          <w:sz w:val="24"/>
          <w:szCs w:val="24"/>
        </w:rPr>
        <w:t>неміжнародного</w:t>
      </w:r>
      <w:proofErr w:type="spellEnd"/>
      <w:r w:rsidR="005E54F9" w:rsidRPr="000D2F84">
        <w:rPr>
          <w:rFonts w:asciiTheme="majorBidi" w:hAnsiTheme="majorBidi" w:cstheme="majorBidi"/>
          <w:sz w:val="24"/>
          <w:szCs w:val="24"/>
        </w:rPr>
        <w:t xml:space="preserve"> характеру (Протокол ІІ) по суті обмежувалася вимогами щодо незалежності та не містила ширшого посилання на вимоги прозорості чи залучення найближчих родичів</w:t>
      </w:r>
      <w:r w:rsidR="00A2631B" w:rsidRPr="000D2F84">
        <w:rPr>
          <w:rFonts w:asciiTheme="majorBidi" w:hAnsiTheme="majorBidi" w:cstheme="majorBidi"/>
          <w:sz w:val="24"/>
          <w:szCs w:val="24"/>
        </w:rPr>
        <w:t xml:space="preserve"> (</w:t>
      </w:r>
      <w:proofErr w:type="spellStart"/>
      <w:r w:rsidR="00A2631B" w:rsidRPr="000D2F84">
        <w:rPr>
          <w:rFonts w:asciiTheme="majorBidi" w:hAnsiTheme="majorBidi" w:cstheme="majorBidi"/>
        </w:rPr>
        <w:t>Hanan</w:t>
      </w:r>
      <w:proofErr w:type="spellEnd"/>
      <w:r w:rsidR="00A2631B" w:rsidRPr="000D2F84">
        <w:rPr>
          <w:rFonts w:asciiTheme="majorBidi" w:hAnsiTheme="majorBidi" w:cstheme="majorBidi"/>
        </w:rPr>
        <w:t xml:space="preserve"> v. </w:t>
      </w:r>
      <w:proofErr w:type="spellStart"/>
      <w:r w:rsidR="00A2631B" w:rsidRPr="000D2F84">
        <w:rPr>
          <w:rFonts w:asciiTheme="majorBidi" w:hAnsiTheme="majorBidi" w:cstheme="majorBidi"/>
        </w:rPr>
        <w:t>Germany</w:t>
      </w:r>
      <w:proofErr w:type="spellEnd"/>
      <w:r w:rsidR="00A2631B" w:rsidRPr="000D2F84">
        <w:rPr>
          <w:rFonts w:asciiTheme="majorBidi" w:hAnsiTheme="majorBidi" w:cstheme="majorBidi"/>
        </w:rPr>
        <w:t xml:space="preserve"> [GC], § 193)</w:t>
      </w:r>
      <w:r w:rsidR="005E54F9" w:rsidRPr="000D2F84">
        <w:rPr>
          <w:rFonts w:asciiTheme="majorBidi" w:hAnsiTheme="majorBidi" w:cstheme="majorBidi"/>
          <w:sz w:val="24"/>
          <w:szCs w:val="24"/>
        </w:rPr>
        <w:t>.</w:t>
      </w:r>
      <w:r w:rsidR="00627D39" w:rsidRPr="000D2F84">
        <w:rPr>
          <w:rFonts w:asciiTheme="majorBidi" w:hAnsiTheme="majorBidi" w:cstheme="majorBidi"/>
          <w:sz w:val="24"/>
          <w:szCs w:val="24"/>
        </w:rPr>
        <w:t xml:space="preserve"> </w:t>
      </w:r>
    </w:p>
    <w:p w:rsidR="004F0D6F" w:rsidRPr="00DF2396" w:rsidRDefault="00627D39" w:rsidP="00A2631B">
      <w:pPr>
        <w:spacing w:after="0" w:line="240" w:lineRule="auto"/>
        <w:ind w:firstLine="567"/>
        <w:jc w:val="both"/>
        <w:rPr>
          <w:rFonts w:asciiTheme="majorBidi" w:hAnsiTheme="majorBidi" w:cstheme="majorBidi"/>
          <w:sz w:val="24"/>
          <w:szCs w:val="24"/>
          <w:lang w:val="ru-RU"/>
        </w:rPr>
      </w:pPr>
      <w:r w:rsidRPr="00DF2396">
        <w:rPr>
          <w:rFonts w:asciiTheme="majorBidi" w:hAnsiTheme="majorBidi" w:cstheme="majorBidi"/>
          <w:sz w:val="24"/>
          <w:szCs w:val="24"/>
        </w:rPr>
        <w:t>Однак Європейський суд з прав людини, виконуючи оцінку ефективності розслідування, проведеного німецьким урядом у цій справі, не обмежився критерієм незалежності, натомість застосувавши всі</w:t>
      </w:r>
      <w:r w:rsidR="00127A6C" w:rsidRPr="00DF2396">
        <w:rPr>
          <w:rFonts w:asciiTheme="majorBidi" w:hAnsiTheme="majorBidi" w:cstheme="majorBidi"/>
          <w:sz w:val="24"/>
          <w:szCs w:val="24"/>
        </w:rPr>
        <w:t xml:space="preserve"> свої</w:t>
      </w:r>
      <w:r w:rsidRPr="00DF2396">
        <w:rPr>
          <w:rFonts w:asciiTheme="majorBidi" w:hAnsiTheme="majorBidi" w:cstheme="majorBidi"/>
          <w:sz w:val="24"/>
          <w:szCs w:val="24"/>
        </w:rPr>
        <w:t xml:space="preserve"> критерії ефективності розслідування.</w:t>
      </w:r>
      <w:r w:rsidR="00925247" w:rsidRPr="00DF2396">
        <w:rPr>
          <w:rFonts w:asciiTheme="majorBidi" w:hAnsiTheme="majorBidi" w:cstheme="majorBidi"/>
          <w:sz w:val="24"/>
          <w:szCs w:val="24"/>
        </w:rPr>
        <w:t xml:space="preserve"> </w:t>
      </w:r>
      <w:r w:rsidR="00127A6C" w:rsidRPr="00DF2396">
        <w:rPr>
          <w:rFonts w:asciiTheme="majorBidi" w:hAnsiTheme="majorBidi" w:cstheme="majorBidi"/>
          <w:sz w:val="24"/>
          <w:szCs w:val="24"/>
        </w:rPr>
        <w:t xml:space="preserve">Суд зазначив, що у цій конкретній ситуації був відсутній істотний нормативний конфлікт між вимогами міжнародного гуманітарного права щодо ефективності розслідування та такими вимогами </w:t>
      </w:r>
      <w:r w:rsidR="00F029DD" w:rsidRPr="00DF2396">
        <w:rPr>
          <w:rFonts w:asciiTheme="majorBidi" w:hAnsiTheme="majorBidi" w:cstheme="majorBidi"/>
          <w:sz w:val="24"/>
          <w:szCs w:val="24"/>
        </w:rPr>
        <w:t>за Конвенцією</w:t>
      </w:r>
      <w:r w:rsidR="00A2631B" w:rsidRPr="00A2631B">
        <w:rPr>
          <w:rFonts w:asciiTheme="majorBidi" w:hAnsiTheme="majorBidi" w:cstheme="majorBidi"/>
          <w:sz w:val="24"/>
          <w:szCs w:val="24"/>
          <w:lang w:val="ru-RU"/>
        </w:rPr>
        <w:t xml:space="preserve"> </w:t>
      </w:r>
      <w:r w:rsidR="00A2631B">
        <w:rPr>
          <w:rFonts w:asciiTheme="majorBidi" w:hAnsiTheme="majorBidi" w:cstheme="majorBidi"/>
          <w:sz w:val="24"/>
          <w:szCs w:val="24"/>
          <w:lang w:val="en-US"/>
        </w:rPr>
        <w:t>(</w:t>
      </w:r>
      <w:proofErr w:type="spellStart"/>
      <w:r w:rsidR="00A2631B">
        <w:rPr>
          <w:rFonts w:asciiTheme="majorBidi" w:hAnsiTheme="majorBidi" w:cstheme="majorBidi"/>
          <w:lang w:val="en-US"/>
        </w:rPr>
        <w:t>Hanan</w:t>
      </w:r>
      <w:proofErr w:type="spellEnd"/>
      <w:r w:rsidR="00A2631B">
        <w:rPr>
          <w:rFonts w:asciiTheme="majorBidi" w:hAnsiTheme="majorBidi" w:cstheme="majorBidi"/>
          <w:lang w:val="en-US"/>
        </w:rPr>
        <w:t xml:space="preserve"> v. </w:t>
      </w:r>
      <w:proofErr w:type="gramStart"/>
      <w:r w:rsidR="00A2631B">
        <w:rPr>
          <w:rFonts w:asciiTheme="majorBidi" w:hAnsiTheme="majorBidi" w:cstheme="majorBidi"/>
          <w:lang w:val="en-US"/>
        </w:rPr>
        <w:t>Germany [GC], § 199)</w:t>
      </w:r>
      <w:r w:rsidR="00F029DD" w:rsidRPr="00DF2396">
        <w:rPr>
          <w:rFonts w:asciiTheme="majorBidi" w:hAnsiTheme="majorBidi" w:cstheme="majorBidi"/>
          <w:sz w:val="24"/>
          <w:szCs w:val="24"/>
          <w:lang w:val="ru-RU"/>
        </w:rPr>
        <w:t>.</w:t>
      </w:r>
      <w:proofErr w:type="gramEnd"/>
      <w:r w:rsidR="00F029DD" w:rsidRPr="00DF2396">
        <w:rPr>
          <w:rFonts w:asciiTheme="majorBidi" w:hAnsiTheme="majorBidi" w:cstheme="majorBidi"/>
          <w:sz w:val="24"/>
          <w:szCs w:val="24"/>
          <w:lang w:val="ru-RU"/>
        </w:rPr>
        <w:t xml:space="preserve"> </w:t>
      </w:r>
      <w:r w:rsidR="00F029DD" w:rsidRPr="00DF2396">
        <w:rPr>
          <w:rFonts w:asciiTheme="majorBidi" w:hAnsiTheme="majorBidi" w:cstheme="majorBidi"/>
          <w:sz w:val="24"/>
          <w:szCs w:val="24"/>
        </w:rPr>
        <w:t xml:space="preserve">Очевидно, що відхід від цієї усталеної правової позиції в </w:t>
      </w:r>
      <w:r w:rsidR="000D1C0D" w:rsidRPr="00DF2396">
        <w:rPr>
          <w:rFonts w:asciiTheme="majorBidi" w:hAnsiTheme="majorBidi" w:cstheme="majorBidi"/>
          <w:sz w:val="24"/>
          <w:szCs w:val="24"/>
        </w:rPr>
        <w:t>майбутніх</w:t>
      </w:r>
      <w:r w:rsidR="00F029DD" w:rsidRPr="00DF2396">
        <w:rPr>
          <w:rFonts w:asciiTheme="majorBidi" w:hAnsiTheme="majorBidi" w:cstheme="majorBidi"/>
          <w:sz w:val="24"/>
          <w:szCs w:val="24"/>
        </w:rPr>
        <w:t xml:space="preserve"> справах є малоймовірним.</w:t>
      </w:r>
    </w:p>
    <w:p w:rsidR="00F029DD" w:rsidRPr="00DF2396" w:rsidRDefault="00072E26" w:rsidP="00A2631B">
      <w:pPr>
        <w:spacing w:after="0" w:line="240" w:lineRule="auto"/>
        <w:ind w:firstLine="567"/>
        <w:jc w:val="both"/>
        <w:rPr>
          <w:rFonts w:asciiTheme="majorBidi" w:hAnsiTheme="majorBidi" w:cstheme="majorBidi"/>
          <w:sz w:val="24"/>
          <w:szCs w:val="24"/>
        </w:rPr>
      </w:pPr>
      <w:r w:rsidRPr="00DF2396">
        <w:rPr>
          <w:rFonts w:asciiTheme="majorBidi" w:hAnsiTheme="majorBidi" w:cstheme="majorBidi"/>
          <w:sz w:val="24"/>
          <w:szCs w:val="24"/>
        </w:rPr>
        <w:t xml:space="preserve">Конкретний зміст процесуальних зобов’язань держави по кожному з критеріїв залежатиме від обставин справи і, зокрема, може залежати від виду порушення. Однак, якщо узагальнити, то вимога щодо </w:t>
      </w:r>
      <w:r w:rsidRPr="00DF2396">
        <w:rPr>
          <w:rFonts w:asciiTheme="majorBidi" w:hAnsiTheme="majorBidi" w:cstheme="majorBidi"/>
          <w:b/>
          <w:bCs/>
          <w:i/>
          <w:iCs/>
          <w:sz w:val="24"/>
          <w:szCs w:val="24"/>
        </w:rPr>
        <w:t>незалежності</w:t>
      </w:r>
      <w:r w:rsidRPr="00DF2396">
        <w:rPr>
          <w:rFonts w:asciiTheme="majorBidi" w:hAnsiTheme="majorBidi" w:cstheme="majorBidi"/>
          <w:sz w:val="24"/>
          <w:szCs w:val="24"/>
        </w:rPr>
        <w:t xml:space="preserve"> розслідування передбачає, що особи, відповідальні за проведення розслідування і задіяні у ньому, мають бути незалежними від осіб, причетних до подій. Це означає не тільки відсутність ієрархічних та інституційних зв’язків, але і практичну незалежність</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Al</w:t>
      </w:r>
      <w:r w:rsidR="00A15BD5" w:rsidRPr="00A15BD5">
        <w:rPr>
          <w:rFonts w:asciiTheme="majorBidi" w:hAnsiTheme="majorBidi" w:cstheme="majorBidi"/>
          <w:sz w:val="24"/>
          <w:szCs w:val="24"/>
        </w:rPr>
        <w:t>-</w:t>
      </w:r>
      <w:proofErr w:type="spellStart"/>
      <w:r w:rsidR="00A15BD5">
        <w:rPr>
          <w:rFonts w:asciiTheme="majorBidi" w:hAnsiTheme="majorBidi" w:cstheme="majorBidi"/>
          <w:sz w:val="24"/>
          <w:szCs w:val="24"/>
          <w:lang w:val="en-US"/>
        </w:rPr>
        <w:t>Skeini</w:t>
      </w:r>
      <w:proofErr w:type="spell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and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Others</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v</w:t>
      </w:r>
      <w:r w:rsidR="00A15BD5" w:rsidRPr="00A15BD5">
        <w:rPr>
          <w:rFonts w:asciiTheme="majorBidi" w:hAnsiTheme="majorBidi" w:cstheme="majorBidi"/>
          <w:sz w:val="24"/>
          <w:szCs w:val="24"/>
        </w:rPr>
        <w:t xml:space="preserve">. </w:t>
      </w:r>
      <w:proofErr w:type="gramStart"/>
      <w:r w:rsidR="00A15BD5">
        <w:rPr>
          <w:rFonts w:asciiTheme="majorBidi" w:hAnsiTheme="majorBidi" w:cstheme="majorBidi"/>
          <w:sz w:val="24"/>
          <w:szCs w:val="24"/>
          <w:lang w:val="en-US"/>
        </w:rPr>
        <w:t>the</w:t>
      </w:r>
      <w:proofErr w:type="gram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United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Kingdom</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GC</w:t>
      </w:r>
      <w:r w:rsidR="00A15BD5" w:rsidRPr="00A15BD5">
        <w:rPr>
          <w:rFonts w:asciiTheme="majorBidi" w:hAnsiTheme="majorBidi" w:cstheme="majorBidi"/>
          <w:sz w:val="24"/>
          <w:szCs w:val="24"/>
        </w:rPr>
        <w:t>], §</w:t>
      </w:r>
      <w:r w:rsidR="00A15BD5">
        <w:rPr>
          <w:rFonts w:asciiTheme="majorBidi" w:hAnsiTheme="majorBidi" w:cstheme="majorBidi"/>
          <w:sz w:val="24"/>
          <w:szCs w:val="24"/>
          <w:lang w:val="en-US"/>
        </w:rPr>
        <w:t> </w:t>
      </w:r>
      <w:r w:rsidR="00A15BD5" w:rsidRPr="00A15BD5">
        <w:rPr>
          <w:rFonts w:asciiTheme="majorBidi" w:hAnsiTheme="majorBidi" w:cstheme="majorBidi"/>
          <w:sz w:val="24"/>
          <w:szCs w:val="24"/>
        </w:rPr>
        <w:t>167)</w:t>
      </w:r>
      <w:r w:rsidRPr="00DF2396">
        <w:rPr>
          <w:rFonts w:asciiTheme="majorBidi" w:hAnsiTheme="majorBidi" w:cstheme="majorBidi"/>
          <w:sz w:val="24"/>
          <w:szCs w:val="24"/>
        </w:rPr>
        <w:t>. Варто, однак, зазначити, що у с</w:t>
      </w:r>
      <w:r w:rsidR="000D1C0D" w:rsidRPr="00DF2396">
        <w:rPr>
          <w:rFonts w:asciiTheme="majorBidi" w:hAnsiTheme="majorBidi" w:cstheme="majorBidi"/>
          <w:sz w:val="24"/>
          <w:szCs w:val="24"/>
        </w:rPr>
        <w:t xml:space="preserve">итуації збройного конфлікту Суд реалістично оцінює можливість ступеню виконання цього та інших критеріїв на різних етапах розслідування. Наприклад, у згаданій вище справі </w:t>
      </w:r>
      <w:proofErr w:type="spellStart"/>
      <w:r w:rsidR="000D1C0D" w:rsidRPr="00DF2396">
        <w:rPr>
          <w:rFonts w:asciiTheme="majorBidi" w:hAnsiTheme="majorBidi" w:cstheme="majorBidi"/>
          <w:sz w:val="24"/>
          <w:szCs w:val="24"/>
        </w:rPr>
        <w:t>Ханан</w:t>
      </w:r>
      <w:proofErr w:type="spellEnd"/>
      <w:r w:rsidR="000D1C0D" w:rsidRPr="00DF2396">
        <w:rPr>
          <w:rFonts w:asciiTheme="majorBidi" w:hAnsiTheme="majorBidi" w:cstheme="majorBidi"/>
          <w:sz w:val="24"/>
          <w:szCs w:val="24"/>
        </w:rPr>
        <w:t xml:space="preserve"> проти Німеччини, </w:t>
      </w:r>
      <w:r w:rsidR="001E4454" w:rsidRPr="00DF2396">
        <w:rPr>
          <w:rFonts w:asciiTheme="majorBidi" w:hAnsiTheme="majorBidi" w:cstheme="majorBidi"/>
          <w:sz w:val="24"/>
          <w:szCs w:val="24"/>
        </w:rPr>
        <w:t>розвідка на місці події здійснювала</w:t>
      </w:r>
      <w:r w:rsidR="000D1C0D" w:rsidRPr="00DF2396">
        <w:rPr>
          <w:rFonts w:asciiTheme="majorBidi" w:hAnsiTheme="majorBidi" w:cstheme="majorBidi"/>
          <w:sz w:val="24"/>
          <w:szCs w:val="24"/>
        </w:rPr>
        <w:t>ся підлеглими причетної до подій особи – полковника, який віддав наказ про бомбардування. Однак цей недолік не був розцінений</w:t>
      </w:r>
      <w:r w:rsidR="001E4454" w:rsidRPr="00DF2396">
        <w:rPr>
          <w:rFonts w:asciiTheme="majorBidi" w:hAnsiTheme="majorBidi" w:cstheme="majorBidi"/>
          <w:sz w:val="24"/>
          <w:szCs w:val="24"/>
        </w:rPr>
        <w:t xml:space="preserve"> Судом</w:t>
      </w:r>
      <w:r w:rsidR="000D1C0D" w:rsidRPr="00DF2396">
        <w:rPr>
          <w:rFonts w:asciiTheme="majorBidi" w:hAnsiTheme="majorBidi" w:cstheme="majorBidi"/>
          <w:sz w:val="24"/>
          <w:szCs w:val="24"/>
        </w:rPr>
        <w:t xml:space="preserve"> як суттєвий з огляду на контекст, у якому </w:t>
      </w:r>
      <w:r w:rsidR="001E4454" w:rsidRPr="00DF2396">
        <w:rPr>
          <w:rFonts w:asciiTheme="majorBidi" w:hAnsiTheme="majorBidi" w:cstheme="majorBidi"/>
          <w:sz w:val="24"/>
          <w:szCs w:val="24"/>
        </w:rPr>
        <w:t xml:space="preserve">проводилося </w:t>
      </w:r>
      <w:r w:rsidR="000D1C0D" w:rsidRPr="00DF2396">
        <w:rPr>
          <w:rFonts w:asciiTheme="majorBidi" w:hAnsiTheme="majorBidi" w:cstheme="majorBidi"/>
          <w:sz w:val="24"/>
          <w:szCs w:val="24"/>
        </w:rPr>
        <w:t>розслідування</w:t>
      </w:r>
      <w:r w:rsidR="001E4454" w:rsidRPr="00DF2396">
        <w:rPr>
          <w:rFonts w:asciiTheme="majorBidi" w:hAnsiTheme="majorBidi" w:cstheme="majorBidi"/>
          <w:sz w:val="24"/>
          <w:szCs w:val="24"/>
        </w:rPr>
        <w:t>, а саме триваючі бойові дії у районі вибуху</w:t>
      </w:r>
      <w:r w:rsidR="000D1C0D" w:rsidRPr="00DF2396">
        <w:rPr>
          <w:rFonts w:asciiTheme="majorBidi" w:hAnsiTheme="majorBidi" w:cstheme="majorBidi"/>
          <w:sz w:val="24"/>
          <w:szCs w:val="24"/>
        </w:rPr>
        <w:t xml:space="preserve">. </w:t>
      </w:r>
      <w:r w:rsidR="001E4454" w:rsidRPr="00DF2396">
        <w:rPr>
          <w:rFonts w:asciiTheme="majorBidi" w:hAnsiTheme="majorBidi" w:cstheme="majorBidi"/>
          <w:sz w:val="24"/>
          <w:szCs w:val="24"/>
        </w:rPr>
        <w:t>По-перше, на момент проведення розвідки слідча група німецької військової поліції, яку викликали цього ж ранку, ще не прибула. Її очікування призвело б хоч і до незначного, але відтермінування розвідки на місці події</w:t>
      </w:r>
      <w:r w:rsidR="00A2631B" w:rsidRPr="00A2631B">
        <w:rPr>
          <w:rFonts w:asciiTheme="majorBidi" w:hAnsiTheme="majorBidi" w:cstheme="majorBidi"/>
          <w:sz w:val="24"/>
          <w:szCs w:val="24"/>
        </w:rPr>
        <w:t xml:space="preserve"> (</w:t>
      </w:r>
      <w:proofErr w:type="spellStart"/>
      <w:r w:rsidR="00A2631B">
        <w:rPr>
          <w:rFonts w:asciiTheme="majorBidi" w:hAnsiTheme="majorBidi" w:cstheme="majorBidi"/>
          <w:lang w:val="en-US"/>
        </w:rPr>
        <w:t>Hanan</w:t>
      </w:r>
      <w:proofErr w:type="spellEnd"/>
      <w:r w:rsidR="00A2631B" w:rsidRPr="00A2631B">
        <w:rPr>
          <w:rFonts w:asciiTheme="majorBidi" w:hAnsiTheme="majorBidi" w:cstheme="majorBidi"/>
        </w:rPr>
        <w:t xml:space="preserve"> </w:t>
      </w:r>
      <w:r w:rsidR="00A2631B">
        <w:rPr>
          <w:rFonts w:asciiTheme="majorBidi" w:hAnsiTheme="majorBidi" w:cstheme="majorBidi"/>
          <w:lang w:val="en-US"/>
        </w:rPr>
        <w:t>v</w:t>
      </w:r>
      <w:r w:rsidR="00A2631B" w:rsidRPr="00A2631B">
        <w:rPr>
          <w:rFonts w:asciiTheme="majorBidi" w:hAnsiTheme="majorBidi" w:cstheme="majorBidi"/>
        </w:rPr>
        <w:t xml:space="preserve">. </w:t>
      </w:r>
      <w:proofErr w:type="gramStart"/>
      <w:r w:rsidR="00A2631B">
        <w:rPr>
          <w:rFonts w:asciiTheme="majorBidi" w:hAnsiTheme="majorBidi" w:cstheme="majorBidi"/>
          <w:lang w:val="en-US"/>
        </w:rPr>
        <w:t>Germany</w:t>
      </w:r>
      <w:r w:rsidR="00A2631B" w:rsidRPr="00A2631B">
        <w:rPr>
          <w:rFonts w:asciiTheme="majorBidi" w:hAnsiTheme="majorBidi" w:cstheme="majorBidi"/>
        </w:rPr>
        <w:t xml:space="preserve"> [</w:t>
      </w:r>
      <w:r w:rsidR="00A2631B">
        <w:rPr>
          <w:rFonts w:asciiTheme="majorBidi" w:hAnsiTheme="majorBidi" w:cstheme="majorBidi"/>
          <w:lang w:val="en-US"/>
        </w:rPr>
        <w:t>GC</w:t>
      </w:r>
      <w:r w:rsidR="00A2631B" w:rsidRPr="00A2631B">
        <w:rPr>
          <w:rFonts w:asciiTheme="majorBidi" w:hAnsiTheme="majorBidi" w:cstheme="majorBidi"/>
        </w:rPr>
        <w:t>], §</w:t>
      </w:r>
      <w:r w:rsidR="00901B81">
        <w:rPr>
          <w:rFonts w:asciiTheme="majorBidi" w:hAnsiTheme="majorBidi" w:cstheme="majorBidi"/>
          <w:lang w:val="en-US"/>
        </w:rPr>
        <w:t> </w:t>
      </w:r>
      <w:r w:rsidR="00A2631B" w:rsidRPr="00A2631B">
        <w:rPr>
          <w:rFonts w:asciiTheme="majorBidi" w:hAnsiTheme="majorBidi" w:cstheme="majorBidi"/>
        </w:rPr>
        <w:t>223)</w:t>
      </w:r>
      <w:r w:rsidR="001E4454" w:rsidRPr="00DF2396">
        <w:rPr>
          <w:rFonts w:asciiTheme="majorBidi" w:hAnsiTheme="majorBidi" w:cstheme="majorBidi"/>
          <w:sz w:val="24"/>
          <w:szCs w:val="24"/>
        </w:rPr>
        <w:t>.</w:t>
      </w:r>
      <w:proofErr w:type="gramEnd"/>
      <w:r w:rsidR="001E4454" w:rsidRPr="00A2631B">
        <w:rPr>
          <w:rFonts w:asciiTheme="majorBidi" w:hAnsiTheme="majorBidi" w:cstheme="majorBidi"/>
          <w:sz w:val="24"/>
          <w:szCs w:val="24"/>
        </w:rPr>
        <w:t xml:space="preserve"> </w:t>
      </w:r>
      <w:r w:rsidR="001E4454" w:rsidRPr="00DF2396">
        <w:rPr>
          <w:rFonts w:asciiTheme="majorBidi" w:hAnsiTheme="majorBidi" w:cstheme="majorBidi"/>
          <w:sz w:val="24"/>
          <w:szCs w:val="24"/>
        </w:rPr>
        <w:t xml:space="preserve">По-друге, відповідальність за кримінальне розслідування було покладено на органи цивільної прокуратури, зокрема на Федерального генерального прокурора, який міг </w:t>
      </w:r>
      <w:r w:rsidR="00E34899" w:rsidRPr="00DF2396">
        <w:rPr>
          <w:rFonts w:asciiTheme="majorBidi" w:hAnsiTheme="majorBidi" w:cstheme="majorBidi"/>
          <w:sz w:val="24"/>
          <w:szCs w:val="24"/>
        </w:rPr>
        <w:t>керуватися значною кількістю</w:t>
      </w:r>
      <w:r w:rsidR="001E4454" w:rsidRPr="00DF2396">
        <w:rPr>
          <w:rFonts w:asciiTheme="majorBidi" w:hAnsiTheme="majorBidi" w:cstheme="majorBidi"/>
          <w:sz w:val="24"/>
          <w:szCs w:val="24"/>
        </w:rPr>
        <w:t xml:space="preserve"> матеріалів розслідувань, проведених різними суб’єктами, і який вжив подальші слідчі дії</w:t>
      </w:r>
      <w:r w:rsidR="00E34899" w:rsidRPr="00DF2396">
        <w:rPr>
          <w:rFonts w:asciiTheme="majorBidi" w:hAnsiTheme="majorBidi" w:cstheme="majorBidi"/>
          <w:sz w:val="24"/>
          <w:szCs w:val="24"/>
        </w:rPr>
        <w:t xml:space="preserve">. Рішення Федерального генерального прокурора про відсутність складу злочину головним чином ґрунтувалося на висновках щодо відсутності умислу полковника під час віддання наказу про авіаудар, що було підтверджено доказами, які могли не могли </w:t>
      </w:r>
      <w:r w:rsidR="00E34899" w:rsidRPr="00DF2396">
        <w:rPr>
          <w:rFonts w:asciiTheme="majorBidi" w:hAnsiTheme="majorBidi" w:cstheme="majorBidi"/>
          <w:sz w:val="24"/>
          <w:szCs w:val="24"/>
        </w:rPr>
        <w:lastRenderedPageBreak/>
        <w:t xml:space="preserve">бути сфальсифіковані, як-от </w:t>
      </w:r>
      <w:proofErr w:type="spellStart"/>
      <w:r w:rsidR="00E34899" w:rsidRPr="00DF2396">
        <w:rPr>
          <w:rFonts w:asciiTheme="majorBidi" w:hAnsiTheme="majorBidi" w:cstheme="majorBidi"/>
          <w:sz w:val="24"/>
          <w:szCs w:val="24"/>
        </w:rPr>
        <w:t>аудіозаписи</w:t>
      </w:r>
      <w:proofErr w:type="spellEnd"/>
      <w:r w:rsidR="00E34899" w:rsidRPr="00DF2396">
        <w:rPr>
          <w:rFonts w:asciiTheme="majorBidi" w:hAnsiTheme="majorBidi" w:cstheme="majorBidi"/>
          <w:sz w:val="24"/>
          <w:szCs w:val="24"/>
        </w:rPr>
        <w:t xml:space="preserve"> радіозв’язку між командним центром і пілотами літака F-15 ВПС США та теплові зображення з інфрачервоних камер останнього, які були забезпечені негайно</w:t>
      </w:r>
      <w:r w:rsidR="00A2631B" w:rsidRPr="00A2631B">
        <w:rPr>
          <w:rFonts w:asciiTheme="majorBidi" w:hAnsiTheme="majorBidi" w:cstheme="majorBidi"/>
          <w:sz w:val="24"/>
          <w:szCs w:val="24"/>
        </w:rPr>
        <w:t xml:space="preserve"> (</w:t>
      </w:r>
      <w:proofErr w:type="spellStart"/>
      <w:r w:rsidR="00A2631B">
        <w:rPr>
          <w:rFonts w:asciiTheme="majorBidi" w:hAnsiTheme="majorBidi" w:cstheme="majorBidi"/>
          <w:lang w:val="en-US"/>
        </w:rPr>
        <w:t>Hanan</w:t>
      </w:r>
      <w:proofErr w:type="spellEnd"/>
      <w:r w:rsidR="00A2631B" w:rsidRPr="00A2631B">
        <w:rPr>
          <w:rFonts w:asciiTheme="majorBidi" w:hAnsiTheme="majorBidi" w:cstheme="majorBidi"/>
        </w:rPr>
        <w:t xml:space="preserve"> </w:t>
      </w:r>
      <w:r w:rsidR="00A2631B">
        <w:rPr>
          <w:rFonts w:asciiTheme="majorBidi" w:hAnsiTheme="majorBidi" w:cstheme="majorBidi"/>
          <w:lang w:val="en-US"/>
        </w:rPr>
        <w:t>v</w:t>
      </w:r>
      <w:r w:rsidR="00A2631B" w:rsidRPr="00A2631B">
        <w:rPr>
          <w:rFonts w:asciiTheme="majorBidi" w:hAnsiTheme="majorBidi" w:cstheme="majorBidi"/>
        </w:rPr>
        <w:t xml:space="preserve">. </w:t>
      </w:r>
      <w:proofErr w:type="gramStart"/>
      <w:r w:rsidR="00A2631B">
        <w:rPr>
          <w:rFonts w:asciiTheme="majorBidi" w:hAnsiTheme="majorBidi" w:cstheme="majorBidi"/>
          <w:lang w:val="en-US"/>
        </w:rPr>
        <w:t>Germany</w:t>
      </w:r>
      <w:r w:rsidR="00A2631B" w:rsidRPr="00A2631B">
        <w:rPr>
          <w:rFonts w:asciiTheme="majorBidi" w:hAnsiTheme="majorBidi" w:cstheme="majorBidi"/>
        </w:rPr>
        <w:t xml:space="preserve"> [</w:t>
      </w:r>
      <w:r w:rsidR="00A2631B">
        <w:rPr>
          <w:rFonts w:asciiTheme="majorBidi" w:hAnsiTheme="majorBidi" w:cstheme="majorBidi"/>
          <w:lang w:val="en-US"/>
        </w:rPr>
        <w:t>GC</w:t>
      </w:r>
      <w:r w:rsidR="00A2631B" w:rsidRPr="00A2631B">
        <w:rPr>
          <w:rFonts w:asciiTheme="majorBidi" w:hAnsiTheme="majorBidi" w:cstheme="majorBidi"/>
        </w:rPr>
        <w:t>], § 226)</w:t>
      </w:r>
      <w:r w:rsidR="00E34899" w:rsidRPr="00DF2396">
        <w:rPr>
          <w:rFonts w:asciiTheme="majorBidi" w:hAnsiTheme="majorBidi" w:cstheme="majorBidi"/>
          <w:sz w:val="24"/>
          <w:szCs w:val="24"/>
        </w:rPr>
        <w:t>.</w:t>
      </w:r>
      <w:proofErr w:type="gramEnd"/>
    </w:p>
    <w:p w:rsidR="00F84C1C" w:rsidRPr="00DF2396" w:rsidRDefault="00E34899" w:rsidP="00B2462B">
      <w:pPr>
        <w:spacing w:after="0" w:line="240" w:lineRule="auto"/>
        <w:ind w:firstLine="567"/>
        <w:jc w:val="both"/>
        <w:rPr>
          <w:rFonts w:asciiTheme="majorBidi" w:hAnsiTheme="majorBidi" w:cstheme="majorBidi"/>
          <w:sz w:val="24"/>
          <w:szCs w:val="24"/>
        </w:rPr>
      </w:pPr>
      <w:r w:rsidRPr="00DF2396">
        <w:rPr>
          <w:rFonts w:asciiTheme="majorBidi" w:hAnsiTheme="majorBidi" w:cstheme="majorBidi"/>
          <w:b/>
          <w:bCs/>
          <w:i/>
          <w:iCs/>
          <w:sz w:val="24"/>
          <w:szCs w:val="24"/>
        </w:rPr>
        <w:t>Адекватність</w:t>
      </w:r>
      <w:r w:rsidRPr="00DF2396">
        <w:rPr>
          <w:rFonts w:asciiTheme="majorBidi" w:hAnsiTheme="majorBidi" w:cstheme="majorBidi"/>
          <w:sz w:val="24"/>
          <w:szCs w:val="24"/>
        </w:rPr>
        <w:t xml:space="preserve"> розслідування означає, що воно має бути </w:t>
      </w:r>
      <w:r w:rsidR="00EB3D10" w:rsidRPr="00DF2396">
        <w:rPr>
          <w:rFonts w:asciiTheme="majorBidi" w:hAnsiTheme="majorBidi" w:cstheme="majorBidi"/>
          <w:sz w:val="24"/>
          <w:szCs w:val="24"/>
        </w:rPr>
        <w:t>спроможним</w:t>
      </w:r>
      <w:r w:rsidRPr="00DF2396">
        <w:rPr>
          <w:rFonts w:asciiTheme="majorBidi" w:hAnsiTheme="majorBidi" w:cstheme="majorBidi"/>
          <w:sz w:val="24"/>
          <w:szCs w:val="24"/>
        </w:rPr>
        <w:t xml:space="preserve"> призвести до ідентифікації та покарання відповідальних осіб.</w:t>
      </w:r>
      <w:r w:rsidR="00EB3D10" w:rsidRPr="00DF2396">
        <w:rPr>
          <w:rFonts w:asciiTheme="majorBidi" w:hAnsiTheme="majorBidi" w:cstheme="majorBidi"/>
          <w:sz w:val="24"/>
          <w:szCs w:val="24"/>
        </w:rPr>
        <w:t xml:space="preserve"> У справах, що стосуються застосування сили агентами держави, розслідування має бути здатним встановити, чи була застосована сила виправданою в даних обставинах, а також виявити та – у разі необхідності – покарати винних осіб</w:t>
      </w:r>
      <w:r w:rsidR="00B2462B" w:rsidRPr="00B2462B">
        <w:rPr>
          <w:rFonts w:asciiTheme="majorBidi" w:hAnsiTheme="majorBidi" w:cstheme="majorBidi"/>
          <w:sz w:val="24"/>
          <w:szCs w:val="24"/>
        </w:rPr>
        <w:t xml:space="preserve"> </w:t>
      </w:r>
      <w:r w:rsidR="00102DB7" w:rsidRPr="00102DB7">
        <w:rPr>
          <w:rFonts w:asciiTheme="majorBidi" w:hAnsiTheme="majorBidi" w:cstheme="majorBidi"/>
          <w:sz w:val="24"/>
          <w:szCs w:val="24"/>
        </w:rPr>
        <w:t>(</w:t>
      </w:r>
      <w:r w:rsidR="00102DB7" w:rsidRPr="00A15BD5">
        <w:rPr>
          <w:rFonts w:asciiTheme="majorBidi" w:hAnsiTheme="majorBidi" w:cstheme="majorBidi"/>
          <w:sz w:val="24"/>
          <w:szCs w:val="24"/>
          <w:lang w:val="en-US"/>
        </w:rPr>
        <w:t>Guide</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on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Article</w:t>
      </w:r>
      <w:r w:rsidR="00102DB7" w:rsidRPr="00102DB7">
        <w:rPr>
          <w:rFonts w:asciiTheme="majorBidi" w:hAnsiTheme="majorBidi" w:cstheme="majorBidi"/>
          <w:sz w:val="24"/>
          <w:szCs w:val="24"/>
        </w:rPr>
        <w:t xml:space="preserve"> 2 </w:t>
      </w:r>
      <w:r w:rsidR="00102DB7" w:rsidRPr="00A15BD5">
        <w:rPr>
          <w:rFonts w:asciiTheme="majorBidi" w:hAnsiTheme="majorBidi" w:cstheme="majorBidi"/>
          <w:sz w:val="24"/>
          <w:szCs w:val="24"/>
          <w:lang w:val="en-US"/>
        </w:rPr>
        <w:t>of</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the</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European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Convention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of</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Human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Rights</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Guide</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on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Article</w:t>
      </w:r>
      <w:r w:rsidR="00102DB7" w:rsidRPr="00102DB7">
        <w:rPr>
          <w:rFonts w:asciiTheme="majorBidi" w:hAnsiTheme="majorBidi" w:cstheme="majorBidi"/>
          <w:sz w:val="24"/>
          <w:szCs w:val="24"/>
        </w:rPr>
        <w:t xml:space="preserve"> 3 </w:t>
      </w:r>
      <w:r w:rsidR="00102DB7" w:rsidRPr="00A15BD5">
        <w:rPr>
          <w:rFonts w:asciiTheme="majorBidi" w:hAnsiTheme="majorBidi" w:cstheme="majorBidi"/>
          <w:sz w:val="24"/>
          <w:szCs w:val="24"/>
          <w:lang w:val="en-US"/>
        </w:rPr>
        <w:t>of</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the</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European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Convention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of</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Human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Rights</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Guide</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on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Article</w:t>
      </w:r>
      <w:r w:rsidR="00102DB7" w:rsidRPr="00102DB7">
        <w:rPr>
          <w:rFonts w:asciiTheme="majorBidi" w:hAnsiTheme="majorBidi" w:cstheme="majorBidi"/>
          <w:sz w:val="24"/>
          <w:szCs w:val="24"/>
        </w:rPr>
        <w:t xml:space="preserve"> 4 </w:t>
      </w:r>
      <w:r w:rsidR="00102DB7" w:rsidRPr="00A15BD5">
        <w:rPr>
          <w:rFonts w:asciiTheme="majorBidi" w:hAnsiTheme="majorBidi" w:cstheme="majorBidi"/>
          <w:sz w:val="24"/>
          <w:szCs w:val="24"/>
          <w:lang w:val="en-US"/>
        </w:rPr>
        <w:t>of</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the</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European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Convention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of</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Human</w:t>
      </w:r>
      <w:r w:rsidR="00102DB7" w:rsidRPr="00102DB7">
        <w:rPr>
          <w:rFonts w:asciiTheme="majorBidi" w:hAnsiTheme="majorBidi" w:cstheme="majorBidi"/>
          <w:sz w:val="24"/>
          <w:szCs w:val="24"/>
        </w:rPr>
        <w:t xml:space="preserve"> </w:t>
      </w:r>
      <w:r w:rsidR="00102DB7" w:rsidRPr="00A15BD5">
        <w:rPr>
          <w:rFonts w:asciiTheme="majorBidi" w:hAnsiTheme="majorBidi" w:cstheme="majorBidi"/>
          <w:sz w:val="24"/>
          <w:szCs w:val="24"/>
          <w:lang w:val="en-US"/>
        </w:rPr>
        <w:t>Rights</w:t>
      </w:r>
      <w:r w:rsidR="00102DB7" w:rsidRPr="00102DB7">
        <w:rPr>
          <w:rFonts w:asciiTheme="majorBidi" w:hAnsiTheme="majorBidi" w:cstheme="majorBidi"/>
          <w:sz w:val="24"/>
          <w:szCs w:val="24"/>
        </w:rPr>
        <w:t>)</w:t>
      </w:r>
      <w:r w:rsidR="00EB3D10" w:rsidRPr="00DF2396">
        <w:rPr>
          <w:rFonts w:asciiTheme="majorBidi" w:hAnsiTheme="majorBidi" w:cstheme="majorBidi"/>
          <w:sz w:val="24"/>
          <w:szCs w:val="24"/>
        </w:rPr>
        <w:t>. У випадку смерті потерпілої особи органи влади повинні вжити будь-яких розумних заходів, щоб отримати докази щодо інциденту, включаючи, серед іншого, свідчення очевидців, докази судово-медичної експертизи та, у відповідних випадках, розтину, який забезпечує повний і точний запис про травми та об’єктивний аналіз клінічного стану, включаючи причину смерті. Будь-який недолік у розслідуванні, який підриває його здатність встановити причину смерті або відповідальну особу, ризикує порушити цей стандарт</w:t>
      </w:r>
      <w:r w:rsidR="00A2631B" w:rsidRPr="00A2631B">
        <w:rPr>
          <w:rFonts w:asciiTheme="majorBidi" w:hAnsiTheme="majorBidi" w:cstheme="majorBidi"/>
          <w:sz w:val="24"/>
          <w:szCs w:val="24"/>
        </w:rPr>
        <w:t xml:space="preserve"> (</w:t>
      </w:r>
      <w:proofErr w:type="spellStart"/>
      <w:r w:rsidR="00A2631B">
        <w:rPr>
          <w:rFonts w:asciiTheme="majorBidi" w:hAnsiTheme="majorBidi" w:cstheme="majorBidi"/>
          <w:lang w:val="en-US"/>
        </w:rPr>
        <w:t>Hanan</w:t>
      </w:r>
      <w:proofErr w:type="spellEnd"/>
      <w:r w:rsidR="00A2631B" w:rsidRPr="00A2631B">
        <w:rPr>
          <w:rFonts w:asciiTheme="majorBidi" w:hAnsiTheme="majorBidi" w:cstheme="majorBidi"/>
        </w:rPr>
        <w:t xml:space="preserve"> </w:t>
      </w:r>
      <w:r w:rsidR="00A2631B">
        <w:rPr>
          <w:rFonts w:asciiTheme="majorBidi" w:hAnsiTheme="majorBidi" w:cstheme="majorBidi"/>
          <w:lang w:val="en-US"/>
        </w:rPr>
        <w:t>v</w:t>
      </w:r>
      <w:r w:rsidR="00A2631B" w:rsidRPr="00A2631B">
        <w:rPr>
          <w:rFonts w:asciiTheme="majorBidi" w:hAnsiTheme="majorBidi" w:cstheme="majorBidi"/>
        </w:rPr>
        <w:t xml:space="preserve">. </w:t>
      </w:r>
      <w:proofErr w:type="gramStart"/>
      <w:r w:rsidR="00A2631B">
        <w:rPr>
          <w:rFonts w:asciiTheme="majorBidi" w:hAnsiTheme="majorBidi" w:cstheme="majorBidi"/>
          <w:lang w:val="en-US"/>
        </w:rPr>
        <w:t>Germany</w:t>
      </w:r>
      <w:r w:rsidR="00A2631B" w:rsidRPr="00A2631B">
        <w:rPr>
          <w:rFonts w:asciiTheme="majorBidi" w:hAnsiTheme="majorBidi" w:cstheme="majorBidi"/>
        </w:rPr>
        <w:t xml:space="preserve"> [</w:t>
      </w:r>
      <w:r w:rsidR="00A2631B">
        <w:rPr>
          <w:rFonts w:asciiTheme="majorBidi" w:hAnsiTheme="majorBidi" w:cstheme="majorBidi"/>
          <w:lang w:val="en-US"/>
        </w:rPr>
        <w:t>GC</w:t>
      </w:r>
      <w:r w:rsidR="00A2631B" w:rsidRPr="00A2631B">
        <w:rPr>
          <w:rFonts w:asciiTheme="majorBidi" w:hAnsiTheme="majorBidi" w:cstheme="majorBidi"/>
        </w:rPr>
        <w:t>], § 202)</w:t>
      </w:r>
      <w:r w:rsidR="00EB3D10" w:rsidRPr="00DF2396">
        <w:rPr>
          <w:rFonts w:asciiTheme="majorBidi" w:hAnsiTheme="majorBidi" w:cstheme="majorBidi"/>
          <w:sz w:val="24"/>
          <w:szCs w:val="24"/>
        </w:rPr>
        <w:t>.</w:t>
      </w:r>
      <w:proofErr w:type="gramEnd"/>
      <w:r w:rsidR="00A9484C" w:rsidRPr="00A2631B">
        <w:rPr>
          <w:rFonts w:asciiTheme="majorBidi" w:hAnsiTheme="majorBidi" w:cstheme="majorBidi"/>
          <w:sz w:val="24"/>
          <w:szCs w:val="24"/>
        </w:rPr>
        <w:t xml:space="preserve"> </w:t>
      </w:r>
      <w:r w:rsidR="00A9484C" w:rsidRPr="00DF2396">
        <w:rPr>
          <w:rFonts w:asciiTheme="majorBidi" w:hAnsiTheme="majorBidi" w:cstheme="majorBidi"/>
          <w:sz w:val="24"/>
          <w:szCs w:val="24"/>
        </w:rPr>
        <w:t xml:space="preserve">Висновки розслідування повинні ґрунтуватися на ретельному, об’єктивному та неупередженому аналізі всіх відповідних елементів. Недотримання очевидної лінії розслідування значною мірою підриває здатність слідства встановити обставини справи та </w:t>
      </w:r>
      <w:r w:rsidR="009424F3" w:rsidRPr="00DF2396">
        <w:rPr>
          <w:rFonts w:asciiTheme="majorBidi" w:hAnsiTheme="majorBidi" w:cstheme="majorBidi"/>
          <w:sz w:val="24"/>
          <w:szCs w:val="24"/>
        </w:rPr>
        <w:t>відповідальних осіб</w:t>
      </w:r>
      <w:r w:rsidR="00B2462B" w:rsidRPr="00B2462B">
        <w:rPr>
          <w:rFonts w:asciiTheme="majorBidi" w:hAnsiTheme="majorBidi" w:cstheme="majorBidi"/>
          <w:sz w:val="24"/>
          <w:szCs w:val="24"/>
        </w:rPr>
        <w:t xml:space="preserve"> (</w:t>
      </w:r>
      <w:proofErr w:type="spellStart"/>
      <w:r w:rsidR="00B2462B">
        <w:rPr>
          <w:rFonts w:asciiTheme="majorBidi" w:hAnsiTheme="majorBidi" w:cstheme="majorBidi"/>
          <w:sz w:val="24"/>
          <w:szCs w:val="24"/>
        </w:rPr>
        <w:t>Mustafa</w:t>
      </w:r>
      <w:proofErr w:type="spellEnd"/>
      <w:r w:rsidR="00B2462B">
        <w:rPr>
          <w:rFonts w:asciiTheme="majorBidi" w:hAnsiTheme="majorBidi" w:cstheme="majorBidi"/>
          <w:sz w:val="24"/>
          <w:szCs w:val="24"/>
        </w:rPr>
        <w:t xml:space="preserve"> </w:t>
      </w:r>
      <w:proofErr w:type="spellStart"/>
      <w:r w:rsidR="00B2462B">
        <w:rPr>
          <w:rFonts w:asciiTheme="majorBidi" w:hAnsiTheme="majorBidi" w:cstheme="majorBidi"/>
          <w:sz w:val="24"/>
          <w:szCs w:val="24"/>
        </w:rPr>
        <w:t>Tunç</w:t>
      </w:r>
      <w:proofErr w:type="spellEnd"/>
      <w:r w:rsidR="00B2462B">
        <w:rPr>
          <w:rFonts w:asciiTheme="majorBidi" w:hAnsiTheme="majorBidi" w:cstheme="majorBidi"/>
          <w:sz w:val="24"/>
          <w:szCs w:val="24"/>
        </w:rPr>
        <w:t xml:space="preserve"> </w:t>
      </w:r>
      <w:r w:rsidR="00B2462B">
        <w:rPr>
          <w:rFonts w:asciiTheme="majorBidi" w:hAnsiTheme="majorBidi" w:cstheme="majorBidi"/>
          <w:sz w:val="24"/>
          <w:szCs w:val="24"/>
          <w:lang w:val="en-US"/>
        </w:rPr>
        <w:t>and</w:t>
      </w:r>
      <w:r w:rsidR="00B2462B" w:rsidRPr="00A9484C">
        <w:rPr>
          <w:rFonts w:asciiTheme="majorBidi" w:hAnsiTheme="majorBidi" w:cstheme="majorBidi"/>
          <w:sz w:val="24"/>
          <w:szCs w:val="24"/>
        </w:rPr>
        <w:t xml:space="preserve"> </w:t>
      </w:r>
      <w:proofErr w:type="spellStart"/>
      <w:r w:rsidR="00B2462B" w:rsidRPr="00A9484C">
        <w:rPr>
          <w:rFonts w:asciiTheme="majorBidi" w:hAnsiTheme="majorBidi" w:cstheme="majorBidi"/>
          <w:sz w:val="24"/>
          <w:szCs w:val="24"/>
        </w:rPr>
        <w:t>Fecire</w:t>
      </w:r>
      <w:proofErr w:type="spellEnd"/>
      <w:r w:rsidR="00B2462B" w:rsidRPr="00A9484C">
        <w:rPr>
          <w:rFonts w:asciiTheme="majorBidi" w:hAnsiTheme="majorBidi" w:cstheme="majorBidi"/>
          <w:sz w:val="24"/>
          <w:szCs w:val="24"/>
        </w:rPr>
        <w:t xml:space="preserve"> </w:t>
      </w:r>
      <w:proofErr w:type="spellStart"/>
      <w:r w:rsidR="00B2462B" w:rsidRPr="00A9484C">
        <w:rPr>
          <w:rFonts w:asciiTheme="majorBidi" w:hAnsiTheme="majorBidi" w:cstheme="majorBidi"/>
          <w:sz w:val="24"/>
          <w:szCs w:val="24"/>
        </w:rPr>
        <w:t>Tunç</w:t>
      </w:r>
      <w:proofErr w:type="spellEnd"/>
      <w:r w:rsidR="00B2462B" w:rsidRPr="00A9484C">
        <w:rPr>
          <w:rFonts w:asciiTheme="majorBidi" w:hAnsiTheme="majorBidi" w:cstheme="majorBidi"/>
          <w:sz w:val="24"/>
          <w:szCs w:val="24"/>
        </w:rPr>
        <w:t xml:space="preserve"> </w:t>
      </w:r>
      <w:r w:rsidR="00B2462B">
        <w:rPr>
          <w:rFonts w:asciiTheme="majorBidi" w:hAnsiTheme="majorBidi" w:cstheme="majorBidi"/>
          <w:sz w:val="24"/>
          <w:szCs w:val="24"/>
          <w:lang w:val="en-US"/>
        </w:rPr>
        <w:t>v</w:t>
      </w:r>
      <w:r w:rsidR="00B2462B" w:rsidRPr="00B2462B">
        <w:rPr>
          <w:rFonts w:asciiTheme="majorBidi" w:hAnsiTheme="majorBidi" w:cstheme="majorBidi"/>
          <w:sz w:val="24"/>
          <w:szCs w:val="24"/>
        </w:rPr>
        <w:t xml:space="preserve">. </w:t>
      </w:r>
      <w:proofErr w:type="gramStart"/>
      <w:r w:rsidR="00B2462B">
        <w:rPr>
          <w:rFonts w:asciiTheme="majorBidi" w:hAnsiTheme="majorBidi" w:cstheme="majorBidi"/>
          <w:sz w:val="24"/>
          <w:szCs w:val="24"/>
          <w:lang w:val="en-US"/>
        </w:rPr>
        <w:t>Turkey</w:t>
      </w:r>
      <w:r w:rsidR="00B2462B" w:rsidRPr="00B2462B">
        <w:rPr>
          <w:rFonts w:asciiTheme="majorBidi" w:hAnsiTheme="majorBidi" w:cstheme="majorBidi"/>
          <w:sz w:val="24"/>
          <w:szCs w:val="24"/>
        </w:rPr>
        <w:t xml:space="preserve"> [</w:t>
      </w:r>
      <w:r w:rsidR="00B2462B">
        <w:rPr>
          <w:rFonts w:asciiTheme="majorBidi" w:hAnsiTheme="majorBidi" w:cstheme="majorBidi"/>
          <w:sz w:val="24"/>
          <w:szCs w:val="24"/>
          <w:lang w:val="en-US"/>
        </w:rPr>
        <w:t>GC</w:t>
      </w:r>
      <w:r w:rsidR="00B2462B" w:rsidRPr="00B2462B">
        <w:rPr>
          <w:rFonts w:asciiTheme="majorBidi" w:hAnsiTheme="majorBidi" w:cstheme="majorBidi"/>
          <w:sz w:val="24"/>
          <w:szCs w:val="24"/>
        </w:rPr>
        <w:t>], § 175)</w:t>
      </w:r>
      <w:r w:rsidR="00A9484C" w:rsidRPr="00DF2396">
        <w:rPr>
          <w:rFonts w:asciiTheme="majorBidi" w:hAnsiTheme="majorBidi" w:cstheme="majorBidi"/>
          <w:sz w:val="24"/>
          <w:szCs w:val="24"/>
        </w:rPr>
        <w:t>.</w:t>
      </w:r>
      <w:proofErr w:type="gramEnd"/>
      <w:r w:rsidR="00A9484C" w:rsidRPr="00DF2396">
        <w:rPr>
          <w:rFonts w:asciiTheme="majorBidi" w:hAnsiTheme="majorBidi" w:cstheme="majorBidi"/>
          <w:sz w:val="24"/>
          <w:szCs w:val="24"/>
        </w:rPr>
        <w:t xml:space="preserve"> Водночас, якщо смерть, яка підлягає розслідуванню згідно зі статтею 2, сталася за обставин збройного конфлікту, слідчим можуть бути створені перешкоди, і конкретні обмеження можуть змусити використовувати менш ефективні заходи розслідування або призвести до затримки розслідування</w:t>
      </w:r>
      <w:r w:rsidR="009424F3" w:rsidRPr="00DF2396">
        <w:rPr>
          <w:rFonts w:asciiTheme="majorBidi" w:hAnsiTheme="majorBidi" w:cstheme="majorBidi"/>
          <w:sz w:val="24"/>
          <w:szCs w:val="24"/>
        </w:rPr>
        <w:t xml:space="preserve">. Тим не менш, зобов’язання за статтею 2 щодо захисту життя передбачає, що навіть у складних </w:t>
      </w:r>
      <w:proofErr w:type="spellStart"/>
      <w:r w:rsidR="009424F3" w:rsidRPr="00DF2396">
        <w:rPr>
          <w:rFonts w:asciiTheme="majorBidi" w:hAnsiTheme="majorBidi" w:cstheme="majorBidi"/>
          <w:sz w:val="24"/>
          <w:szCs w:val="24"/>
        </w:rPr>
        <w:t>безпекових</w:t>
      </w:r>
      <w:proofErr w:type="spellEnd"/>
      <w:r w:rsidR="009424F3" w:rsidRPr="00DF2396">
        <w:rPr>
          <w:rFonts w:asciiTheme="majorBidi" w:hAnsiTheme="majorBidi" w:cstheme="majorBidi"/>
          <w:sz w:val="24"/>
          <w:szCs w:val="24"/>
        </w:rPr>
        <w:t xml:space="preserve"> умовах необхідно вжити всіх розумних заходів для забезпечення проведення ефективного незалежного розслідування ймовірних порушень права на життя</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Al</w:t>
      </w:r>
      <w:r w:rsidR="00A15BD5" w:rsidRPr="00A15BD5">
        <w:rPr>
          <w:rFonts w:asciiTheme="majorBidi" w:hAnsiTheme="majorBidi" w:cstheme="majorBidi"/>
          <w:sz w:val="24"/>
          <w:szCs w:val="24"/>
        </w:rPr>
        <w:t>-</w:t>
      </w:r>
      <w:proofErr w:type="spellStart"/>
      <w:r w:rsidR="00A15BD5">
        <w:rPr>
          <w:rFonts w:asciiTheme="majorBidi" w:hAnsiTheme="majorBidi" w:cstheme="majorBidi"/>
          <w:sz w:val="24"/>
          <w:szCs w:val="24"/>
          <w:lang w:val="en-US"/>
        </w:rPr>
        <w:t>Skeini</w:t>
      </w:r>
      <w:proofErr w:type="spell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and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Others</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v</w:t>
      </w:r>
      <w:r w:rsidR="00A15BD5" w:rsidRPr="00A15BD5">
        <w:rPr>
          <w:rFonts w:asciiTheme="majorBidi" w:hAnsiTheme="majorBidi" w:cstheme="majorBidi"/>
          <w:sz w:val="24"/>
          <w:szCs w:val="24"/>
        </w:rPr>
        <w:t xml:space="preserve">. </w:t>
      </w:r>
      <w:proofErr w:type="gramStart"/>
      <w:r w:rsidR="00A15BD5">
        <w:rPr>
          <w:rFonts w:asciiTheme="majorBidi" w:hAnsiTheme="majorBidi" w:cstheme="majorBidi"/>
          <w:sz w:val="24"/>
          <w:szCs w:val="24"/>
          <w:lang w:val="en-US"/>
        </w:rPr>
        <w:t>the</w:t>
      </w:r>
      <w:proofErr w:type="gram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United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Kingdom</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GC</w:t>
      </w:r>
      <w:r w:rsidR="00A15BD5" w:rsidRPr="00A15BD5">
        <w:rPr>
          <w:rFonts w:asciiTheme="majorBidi" w:hAnsiTheme="majorBidi" w:cstheme="majorBidi"/>
          <w:sz w:val="24"/>
          <w:szCs w:val="24"/>
        </w:rPr>
        <w:t>], § 164)</w:t>
      </w:r>
      <w:r w:rsidR="009424F3" w:rsidRPr="00DF2396">
        <w:rPr>
          <w:rFonts w:asciiTheme="majorBidi" w:hAnsiTheme="majorBidi" w:cstheme="majorBidi"/>
          <w:sz w:val="24"/>
          <w:szCs w:val="24"/>
        </w:rPr>
        <w:t xml:space="preserve">. </w:t>
      </w:r>
    </w:p>
    <w:p w:rsidR="009424F3" w:rsidRPr="00DF2396" w:rsidRDefault="009424F3" w:rsidP="008F6D0C">
      <w:pPr>
        <w:spacing w:after="0" w:line="240" w:lineRule="auto"/>
        <w:ind w:firstLine="567"/>
        <w:jc w:val="both"/>
        <w:rPr>
          <w:rFonts w:asciiTheme="majorBidi" w:hAnsiTheme="majorBidi" w:cstheme="majorBidi"/>
          <w:sz w:val="24"/>
          <w:szCs w:val="24"/>
        </w:rPr>
      </w:pPr>
      <w:r w:rsidRPr="00DF2396">
        <w:rPr>
          <w:rFonts w:asciiTheme="majorBidi" w:hAnsiTheme="majorBidi" w:cstheme="majorBidi"/>
          <w:sz w:val="24"/>
          <w:szCs w:val="24"/>
        </w:rPr>
        <w:t>З огляду на різноманітність ситуацій, які можуть існувати, неможливо звести слідчі дії до простого контрольного списку</w:t>
      </w:r>
      <w:r w:rsidR="00B2462B" w:rsidRPr="00B2462B">
        <w:rPr>
          <w:rFonts w:asciiTheme="majorBidi" w:hAnsiTheme="majorBidi" w:cstheme="majorBidi"/>
          <w:sz w:val="24"/>
          <w:szCs w:val="24"/>
          <w:lang w:val="ru-RU"/>
        </w:rPr>
        <w:t xml:space="preserve"> (</w:t>
      </w:r>
      <w:proofErr w:type="spellStart"/>
      <w:r w:rsidR="00B2462B" w:rsidRPr="00B2462B">
        <w:rPr>
          <w:rFonts w:asciiTheme="majorBidi" w:hAnsiTheme="majorBidi" w:cstheme="majorBidi"/>
          <w:sz w:val="24"/>
          <w:szCs w:val="24"/>
          <w:lang w:val="en-US"/>
        </w:rPr>
        <w:t>Velikova</w:t>
      </w:r>
      <w:proofErr w:type="spellEnd"/>
      <w:r w:rsidR="00B2462B" w:rsidRPr="00B2462B">
        <w:rPr>
          <w:rFonts w:asciiTheme="majorBidi" w:hAnsiTheme="majorBidi" w:cstheme="majorBidi"/>
          <w:sz w:val="24"/>
          <w:szCs w:val="24"/>
          <w:lang w:val="ru-RU"/>
        </w:rPr>
        <w:t xml:space="preserve"> </w:t>
      </w:r>
      <w:r w:rsidR="00B2462B" w:rsidRPr="00B2462B">
        <w:rPr>
          <w:rFonts w:asciiTheme="majorBidi" w:hAnsiTheme="majorBidi" w:cstheme="majorBidi"/>
          <w:sz w:val="24"/>
          <w:szCs w:val="24"/>
          <w:lang w:val="en-US"/>
        </w:rPr>
        <w:t>v</w:t>
      </w:r>
      <w:r w:rsidR="00B2462B" w:rsidRPr="00B2462B">
        <w:rPr>
          <w:rFonts w:asciiTheme="majorBidi" w:hAnsiTheme="majorBidi" w:cstheme="majorBidi"/>
          <w:sz w:val="24"/>
          <w:szCs w:val="24"/>
          <w:lang w:val="ru-RU"/>
        </w:rPr>
        <w:t xml:space="preserve">. </w:t>
      </w:r>
      <w:proofErr w:type="gramStart"/>
      <w:r w:rsidR="00B2462B" w:rsidRPr="00B2462B">
        <w:rPr>
          <w:rFonts w:asciiTheme="majorBidi" w:hAnsiTheme="majorBidi" w:cstheme="majorBidi"/>
          <w:sz w:val="24"/>
          <w:szCs w:val="24"/>
          <w:lang w:val="en-US"/>
        </w:rPr>
        <w:t>Bulgari</w:t>
      </w:r>
      <w:r w:rsidR="00B2462B">
        <w:rPr>
          <w:rFonts w:asciiTheme="majorBidi" w:hAnsiTheme="majorBidi" w:cstheme="majorBidi"/>
          <w:sz w:val="24"/>
          <w:szCs w:val="24"/>
          <w:lang w:val="en-US"/>
        </w:rPr>
        <w:t>a</w:t>
      </w:r>
      <w:r w:rsidR="00B2462B" w:rsidRPr="00B2462B">
        <w:rPr>
          <w:rFonts w:asciiTheme="majorBidi" w:hAnsiTheme="majorBidi" w:cstheme="majorBidi"/>
          <w:sz w:val="24"/>
          <w:szCs w:val="24"/>
          <w:lang w:val="ru-RU"/>
        </w:rPr>
        <w:t>, § 80)</w:t>
      </w:r>
      <w:r w:rsidRPr="00DF2396">
        <w:rPr>
          <w:rFonts w:asciiTheme="majorBidi" w:hAnsiTheme="majorBidi" w:cstheme="majorBidi"/>
          <w:sz w:val="24"/>
          <w:szCs w:val="24"/>
        </w:rPr>
        <w:t>.</w:t>
      </w:r>
      <w:proofErr w:type="gramEnd"/>
      <w:r w:rsidRPr="00DF2396">
        <w:rPr>
          <w:rFonts w:asciiTheme="majorBidi" w:hAnsiTheme="majorBidi" w:cstheme="majorBidi"/>
          <w:sz w:val="24"/>
          <w:szCs w:val="24"/>
        </w:rPr>
        <w:t xml:space="preserve"> Так, у справі </w:t>
      </w:r>
      <w:proofErr w:type="spellStart"/>
      <w:r w:rsidRPr="00DF2396">
        <w:rPr>
          <w:rFonts w:asciiTheme="majorBidi" w:hAnsiTheme="majorBidi" w:cstheme="majorBidi"/>
          <w:sz w:val="24"/>
          <w:szCs w:val="24"/>
        </w:rPr>
        <w:t>Ханан</w:t>
      </w:r>
      <w:proofErr w:type="spellEnd"/>
      <w:r w:rsidRPr="00DF2396">
        <w:rPr>
          <w:rFonts w:asciiTheme="majorBidi" w:hAnsiTheme="majorBidi" w:cstheme="majorBidi"/>
          <w:sz w:val="24"/>
          <w:szCs w:val="24"/>
        </w:rPr>
        <w:t xml:space="preserve"> проти Німеччини </w:t>
      </w:r>
      <w:r w:rsidR="008F6D0C">
        <w:rPr>
          <w:rFonts w:asciiTheme="majorBidi" w:hAnsiTheme="majorBidi" w:cstheme="majorBidi"/>
          <w:sz w:val="24"/>
          <w:szCs w:val="24"/>
        </w:rPr>
        <w:t>бомбардування</w:t>
      </w:r>
      <w:r w:rsidR="008F6D0C" w:rsidRPr="008F6D0C">
        <w:rPr>
          <w:rFonts w:asciiTheme="majorBidi" w:hAnsiTheme="majorBidi" w:cstheme="majorBidi"/>
          <w:sz w:val="24"/>
          <w:szCs w:val="24"/>
          <w:lang w:val="ru-RU"/>
        </w:rPr>
        <w:t xml:space="preserve"> </w:t>
      </w:r>
      <w:r w:rsidR="008F6D0C">
        <w:rPr>
          <w:rFonts w:asciiTheme="majorBidi" w:hAnsiTheme="majorBidi" w:cstheme="majorBidi"/>
          <w:sz w:val="24"/>
          <w:szCs w:val="24"/>
        </w:rPr>
        <w:t>спричинило</w:t>
      </w:r>
      <w:r w:rsidRPr="00DF2396">
        <w:rPr>
          <w:rFonts w:asciiTheme="majorBidi" w:hAnsiTheme="majorBidi" w:cstheme="majorBidi"/>
          <w:sz w:val="24"/>
          <w:szCs w:val="24"/>
        </w:rPr>
        <w:t xml:space="preserve"> смерть двох малолітніх дітей заявника</w:t>
      </w:r>
      <w:r w:rsidR="004E4375" w:rsidRPr="00DF2396">
        <w:rPr>
          <w:rFonts w:asciiTheme="majorBidi" w:hAnsiTheme="majorBidi" w:cstheme="majorBidi"/>
          <w:sz w:val="24"/>
          <w:szCs w:val="24"/>
        </w:rPr>
        <w:t xml:space="preserve"> та багатьох інших осіб</w:t>
      </w:r>
      <w:r w:rsidR="006F38F0">
        <w:rPr>
          <w:rFonts w:asciiTheme="majorBidi" w:hAnsiTheme="majorBidi" w:cstheme="majorBidi"/>
          <w:sz w:val="24"/>
          <w:szCs w:val="24"/>
        </w:rPr>
        <w:t>. Від</w:t>
      </w:r>
      <w:r w:rsidRPr="00DF2396">
        <w:rPr>
          <w:rFonts w:asciiTheme="majorBidi" w:hAnsiTheme="majorBidi" w:cstheme="majorBidi"/>
          <w:sz w:val="24"/>
          <w:szCs w:val="24"/>
        </w:rPr>
        <w:t xml:space="preserve"> самого початку слідству були відомі причина їх смерті та особа, відповідальна за прийняття рішення про бомбардування. У цій справі судово-медичні експертизи не проводилися, оскільки: а) на момент проведення розвідки на місці тіла загиблих вже були в</w:t>
      </w:r>
      <w:r w:rsidR="004E4375" w:rsidRPr="00DF2396">
        <w:rPr>
          <w:rFonts w:asciiTheme="majorBidi" w:hAnsiTheme="majorBidi" w:cstheme="majorBidi"/>
          <w:sz w:val="24"/>
          <w:szCs w:val="24"/>
        </w:rPr>
        <w:t>инесені місцевим населенням; б) </w:t>
      </w:r>
      <w:r w:rsidRPr="00DF2396">
        <w:rPr>
          <w:rFonts w:asciiTheme="majorBidi" w:hAnsiTheme="majorBidi" w:cstheme="majorBidi"/>
          <w:sz w:val="24"/>
          <w:szCs w:val="24"/>
        </w:rPr>
        <w:t xml:space="preserve">ексгумація тіл суперечила б релігійним звичаям потерпілих та їх сімей; </w:t>
      </w:r>
      <w:r w:rsidR="004E4375" w:rsidRPr="00DF2396">
        <w:rPr>
          <w:rFonts w:asciiTheme="majorBidi" w:hAnsiTheme="majorBidi" w:cstheme="majorBidi"/>
          <w:sz w:val="24"/>
          <w:szCs w:val="24"/>
        </w:rPr>
        <w:t>в)</w:t>
      </w:r>
      <w:r w:rsidR="004E4375" w:rsidRPr="00DF2396">
        <w:rPr>
          <w:sz w:val="24"/>
          <w:szCs w:val="24"/>
        </w:rPr>
        <w:t> </w:t>
      </w:r>
      <w:r w:rsidR="004E4375" w:rsidRPr="00DF2396">
        <w:rPr>
          <w:rFonts w:asciiTheme="majorBidi" w:hAnsiTheme="majorBidi" w:cstheme="majorBidi"/>
          <w:sz w:val="24"/>
          <w:szCs w:val="24"/>
        </w:rPr>
        <w:t>що найбільш важливо, причина смерті вже була відома слідству, а коло загиблих та поранених осіб не були вирішальними для висновків, яких дійшло слідство. З огляду на те, що мова йшла про можливий воєнний злочин, слідство сфокусувалося на суб’єктивній стороні, оскільки встановило, що полковник на момент віддачі наказу про авіаудар був переконаний, що на місці відсутні цивільні особи. Цей елемент був визначальним для висновку про відсутність складу злочину</w:t>
      </w:r>
      <w:r w:rsidR="00A2631B" w:rsidRPr="00A2631B">
        <w:rPr>
          <w:rFonts w:asciiTheme="majorBidi" w:hAnsiTheme="majorBidi" w:cstheme="majorBidi"/>
          <w:sz w:val="24"/>
          <w:szCs w:val="24"/>
          <w:lang w:val="ru-RU"/>
        </w:rPr>
        <w:t xml:space="preserve"> (</w:t>
      </w:r>
      <w:proofErr w:type="spellStart"/>
      <w:r w:rsidR="00A2631B">
        <w:rPr>
          <w:rFonts w:asciiTheme="majorBidi" w:hAnsiTheme="majorBidi" w:cstheme="majorBidi"/>
          <w:lang w:val="en-US"/>
        </w:rPr>
        <w:t>Hanan</w:t>
      </w:r>
      <w:proofErr w:type="spellEnd"/>
      <w:r w:rsidR="00A2631B">
        <w:rPr>
          <w:rFonts w:asciiTheme="majorBidi" w:hAnsiTheme="majorBidi" w:cstheme="majorBidi"/>
          <w:lang w:val="en-US"/>
        </w:rPr>
        <w:t> v</w:t>
      </w:r>
      <w:r w:rsidR="00A2631B">
        <w:rPr>
          <w:rFonts w:asciiTheme="majorBidi" w:hAnsiTheme="majorBidi" w:cstheme="majorBidi"/>
          <w:lang w:val="ru-RU"/>
        </w:rPr>
        <w:t>.</w:t>
      </w:r>
      <w:r w:rsidR="00A2631B">
        <w:rPr>
          <w:rFonts w:asciiTheme="majorBidi" w:hAnsiTheme="majorBidi" w:cstheme="majorBidi"/>
          <w:lang w:val="en-US"/>
        </w:rPr>
        <w:t> </w:t>
      </w:r>
      <w:proofErr w:type="gramStart"/>
      <w:r w:rsidR="00A2631B">
        <w:rPr>
          <w:rFonts w:asciiTheme="majorBidi" w:hAnsiTheme="majorBidi" w:cstheme="majorBidi"/>
          <w:lang w:val="en-US"/>
        </w:rPr>
        <w:t>Germany</w:t>
      </w:r>
      <w:r w:rsidR="00A2631B" w:rsidRPr="00A2631B">
        <w:rPr>
          <w:rFonts w:asciiTheme="majorBidi" w:hAnsiTheme="majorBidi" w:cstheme="majorBidi"/>
          <w:lang w:val="ru-RU"/>
        </w:rPr>
        <w:t>[</w:t>
      </w:r>
      <w:proofErr w:type="gramEnd"/>
      <w:r w:rsidR="00A2631B">
        <w:rPr>
          <w:rFonts w:asciiTheme="majorBidi" w:hAnsiTheme="majorBidi" w:cstheme="majorBidi"/>
          <w:lang w:val="en-US"/>
        </w:rPr>
        <w:t>GC</w:t>
      </w:r>
      <w:r w:rsidR="00A2631B" w:rsidRPr="00A2631B">
        <w:rPr>
          <w:rFonts w:asciiTheme="majorBidi" w:hAnsiTheme="majorBidi" w:cstheme="majorBidi"/>
          <w:lang w:val="ru-RU"/>
        </w:rPr>
        <w:t>], §§</w:t>
      </w:r>
      <w:r w:rsidR="00A2631B">
        <w:rPr>
          <w:lang w:val="en-US"/>
        </w:rPr>
        <w:t> </w:t>
      </w:r>
      <w:r w:rsidR="00A2631B" w:rsidRPr="00A2631B">
        <w:rPr>
          <w:rFonts w:asciiTheme="majorBidi" w:hAnsiTheme="majorBidi" w:cstheme="majorBidi"/>
          <w:lang w:val="ru-RU"/>
        </w:rPr>
        <w:t>211-218)</w:t>
      </w:r>
      <w:r w:rsidR="004E4375" w:rsidRPr="00DF2396">
        <w:rPr>
          <w:rFonts w:asciiTheme="majorBidi" w:hAnsiTheme="majorBidi" w:cstheme="majorBidi"/>
          <w:sz w:val="24"/>
          <w:szCs w:val="24"/>
        </w:rPr>
        <w:t>.</w:t>
      </w:r>
    </w:p>
    <w:p w:rsidR="00DB2B6D" w:rsidRPr="00DF2396" w:rsidRDefault="00DB2B6D" w:rsidP="00A2631B">
      <w:pPr>
        <w:spacing w:after="0" w:line="240" w:lineRule="auto"/>
        <w:ind w:firstLine="567"/>
        <w:jc w:val="both"/>
        <w:rPr>
          <w:rFonts w:asciiTheme="majorBidi" w:hAnsiTheme="majorBidi" w:cstheme="majorBidi"/>
          <w:sz w:val="24"/>
          <w:szCs w:val="24"/>
        </w:rPr>
      </w:pPr>
      <w:r w:rsidRPr="00DF2396">
        <w:rPr>
          <w:rFonts w:asciiTheme="majorBidi" w:hAnsiTheme="majorBidi" w:cstheme="majorBidi"/>
          <w:sz w:val="24"/>
          <w:szCs w:val="24"/>
        </w:rPr>
        <w:t xml:space="preserve">Розслідування повинне бути </w:t>
      </w:r>
      <w:r w:rsidRPr="00DF2396">
        <w:rPr>
          <w:rFonts w:asciiTheme="majorBidi" w:hAnsiTheme="majorBidi" w:cstheme="majorBidi"/>
          <w:b/>
          <w:bCs/>
          <w:i/>
          <w:iCs/>
          <w:sz w:val="24"/>
          <w:szCs w:val="24"/>
        </w:rPr>
        <w:t>оперативним</w:t>
      </w:r>
      <w:r w:rsidRPr="00DF2396">
        <w:rPr>
          <w:rFonts w:asciiTheme="majorBidi" w:hAnsiTheme="majorBidi" w:cstheme="majorBidi"/>
          <w:sz w:val="24"/>
          <w:szCs w:val="24"/>
        </w:rPr>
        <w:t xml:space="preserve">, </w:t>
      </w:r>
      <w:r w:rsidR="00D13B43" w:rsidRPr="00DF2396">
        <w:rPr>
          <w:rFonts w:asciiTheme="majorBidi" w:hAnsiTheme="majorBidi" w:cstheme="majorBidi"/>
          <w:sz w:val="24"/>
          <w:szCs w:val="24"/>
        </w:rPr>
        <w:t>тобто швидким. Суд, однак, визнає, що можуть існувати перешкоди або труднощі, які перешкоджають прогресу в розслідуванні в конкретній ситуації. Тим не менш, оперативна реакція органів влади при розслідуванні застосування летальної сили чи випадків неналежного поводження загалом може розглядатися як важлива для підтримки довіри громадськості до принципу верховенства права та запобігання будь-якій видимості змови чи терпимості до протиправних дій</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Al</w:t>
      </w:r>
      <w:r w:rsidR="00A15BD5" w:rsidRPr="00A15BD5">
        <w:rPr>
          <w:rFonts w:asciiTheme="majorBidi" w:hAnsiTheme="majorBidi" w:cstheme="majorBidi"/>
          <w:sz w:val="24"/>
          <w:szCs w:val="24"/>
        </w:rPr>
        <w:t>-</w:t>
      </w:r>
      <w:proofErr w:type="spellStart"/>
      <w:r w:rsidR="00A15BD5">
        <w:rPr>
          <w:rFonts w:asciiTheme="majorBidi" w:hAnsiTheme="majorBidi" w:cstheme="majorBidi"/>
          <w:sz w:val="24"/>
          <w:szCs w:val="24"/>
          <w:lang w:val="en-US"/>
        </w:rPr>
        <w:t>Skeini</w:t>
      </w:r>
      <w:proofErr w:type="spell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and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Others</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v</w:t>
      </w:r>
      <w:r w:rsidR="00A15BD5" w:rsidRPr="00A15BD5">
        <w:rPr>
          <w:rFonts w:asciiTheme="majorBidi" w:hAnsiTheme="majorBidi" w:cstheme="majorBidi"/>
          <w:sz w:val="24"/>
          <w:szCs w:val="24"/>
        </w:rPr>
        <w:t xml:space="preserve">. </w:t>
      </w:r>
      <w:proofErr w:type="gramStart"/>
      <w:r w:rsidR="00A15BD5">
        <w:rPr>
          <w:rFonts w:asciiTheme="majorBidi" w:hAnsiTheme="majorBidi" w:cstheme="majorBidi"/>
          <w:sz w:val="24"/>
          <w:szCs w:val="24"/>
          <w:lang w:val="en-US"/>
        </w:rPr>
        <w:t>the</w:t>
      </w:r>
      <w:proofErr w:type="gramEnd"/>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United</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Kingdom</w:t>
      </w:r>
      <w:r w:rsidR="00A15BD5" w:rsidRPr="00A15BD5">
        <w:rPr>
          <w:rFonts w:asciiTheme="majorBidi" w:hAnsiTheme="majorBidi" w:cstheme="majorBidi"/>
          <w:sz w:val="24"/>
          <w:szCs w:val="24"/>
        </w:rPr>
        <w:t xml:space="preserve"> [</w:t>
      </w:r>
      <w:r w:rsidR="00A15BD5">
        <w:rPr>
          <w:rFonts w:asciiTheme="majorBidi" w:hAnsiTheme="majorBidi" w:cstheme="majorBidi"/>
          <w:sz w:val="24"/>
          <w:szCs w:val="24"/>
          <w:lang w:val="en-US"/>
        </w:rPr>
        <w:t>GC</w:t>
      </w:r>
      <w:r w:rsidR="00A15BD5" w:rsidRPr="00A15BD5">
        <w:rPr>
          <w:rFonts w:asciiTheme="majorBidi" w:hAnsiTheme="majorBidi" w:cstheme="majorBidi"/>
          <w:sz w:val="24"/>
          <w:szCs w:val="24"/>
        </w:rPr>
        <w:t>]</w:t>
      </w:r>
      <w:r w:rsidR="00A15BD5" w:rsidRPr="00A2631B">
        <w:rPr>
          <w:rFonts w:asciiTheme="majorBidi" w:hAnsiTheme="majorBidi" w:cstheme="majorBidi"/>
          <w:sz w:val="24"/>
          <w:szCs w:val="24"/>
        </w:rPr>
        <w:t>, § 167)</w:t>
      </w:r>
      <w:r w:rsidR="00D13B43" w:rsidRPr="00DF2396">
        <w:rPr>
          <w:rFonts w:asciiTheme="majorBidi" w:hAnsiTheme="majorBidi" w:cstheme="majorBidi"/>
          <w:sz w:val="24"/>
          <w:szCs w:val="24"/>
        </w:rPr>
        <w:t>.</w:t>
      </w:r>
    </w:p>
    <w:p w:rsidR="00B51B60" w:rsidRPr="00DF2396" w:rsidRDefault="00B51B60" w:rsidP="00A2631B">
      <w:pPr>
        <w:spacing w:line="240" w:lineRule="auto"/>
        <w:ind w:firstLine="567"/>
        <w:jc w:val="both"/>
        <w:rPr>
          <w:rFonts w:asciiTheme="majorBidi" w:hAnsiTheme="majorBidi" w:cstheme="majorBidi"/>
          <w:sz w:val="24"/>
          <w:szCs w:val="24"/>
        </w:rPr>
      </w:pPr>
      <w:r w:rsidRPr="00DF2396">
        <w:rPr>
          <w:rFonts w:asciiTheme="majorBidi" w:hAnsiTheme="majorBidi" w:cstheme="majorBidi"/>
          <w:sz w:val="24"/>
          <w:szCs w:val="24"/>
        </w:rPr>
        <w:t xml:space="preserve">Розслідування повинне дозволяти </w:t>
      </w:r>
      <w:r w:rsidRPr="00DF2396">
        <w:rPr>
          <w:rFonts w:asciiTheme="majorBidi" w:hAnsiTheme="majorBidi" w:cstheme="majorBidi"/>
          <w:b/>
          <w:bCs/>
          <w:i/>
          <w:iCs/>
          <w:sz w:val="24"/>
          <w:szCs w:val="24"/>
        </w:rPr>
        <w:t>громадськ</w:t>
      </w:r>
      <w:r w:rsidR="005B5D24" w:rsidRPr="00DF2396">
        <w:rPr>
          <w:rFonts w:asciiTheme="majorBidi" w:hAnsiTheme="majorBidi" w:cstheme="majorBidi"/>
          <w:b/>
          <w:bCs/>
          <w:i/>
          <w:iCs/>
          <w:sz w:val="24"/>
          <w:szCs w:val="24"/>
        </w:rPr>
        <w:t>ий</w:t>
      </w:r>
      <w:r w:rsidRPr="00DF2396">
        <w:rPr>
          <w:rFonts w:asciiTheme="majorBidi" w:hAnsiTheme="majorBidi" w:cstheme="majorBidi"/>
          <w:b/>
          <w:bCs/>
          <w:i/>
          <w:iCs/>
          <w:sz w:val="24"/>
          <w:szCs w:val="24"/>
        </w:rPr>
        <w:t xml:space="preserve"> контрол</w:t>
      </w:r>
      <w:r w:rsidR="005B5D24" w:rsidRPr="00DF2396">
        <w:rPr>
          <w:rFonts w:asciiTheme="majorBidi" w:hAnsiTheme="majorBidi" w:cstheme="majorBidi"/>
          <w:b/>
          <w:bCs/>
          <w:i/>
          <w:iCs/>
          <w:sz w:val="24"/>
          <w:szCs w:val="24"/>
        </w:rPr>
        <w:t>ь</w:t>
      </w:r>
      <w:r w:rsidRPr="00DF2396">
        <w:rPr>
          <w:rFonts w:asciiTheme="majorBidi" w:hAnsiTheme="majorBidi" w:cstheme="majorBidi"/>
          <w:sz w:val="24"/>
          <w:szCs w:val="24"/>
        </w:rPr>
        <w:t xml:space="preserve"> та </w:t>
      </w:r>
      <w:r w:rsidRPr="00DF2396">
        <w:rPr>
          <w:rFonts w:asciiTheme="majorBidi" w:hAnsiTheme="majorBidi" w:cstheme="majorBidi"/>
          <w:b/>
          <w:bCs/>
          <w:i/>
          <w:iCs/>
          <w:sz w:val="24"/>
          <w:szCs w:val="24"/>
        </w:rPr>
        <w:t>залучення потерпілого (потерпілих)</w:t>
      </w:r>
      <w:r w:rsidR="00DF2396" w:rsidRPr="00DF2396">
        <w:rPr>
          <w:rFonts w:asciiTheme="majorBidi" w:hAnsiTheme="majorBidi" w:cstheme="majorBidi"/>
          <w:sz w:val="24"/>
          <w:szCs w:val="24"/>
        </w:rPr>
        <w:t>, ступі</w:t>
      </w:r>
      <w:r w:rsidR="005B5D24" w:rsidRPr="00DF2396">
        <w:rPr>
          <w:rFonts w:asciiTheme="majorBidi" w:hAnsiTheme="majorBidi" w:cstheme="majorBidi"/>
          <w:sz w:val="24"/>
          <w:szCs w:val="24"/>
        </w:rPr>
        <w:t>нь яких може</w:t>
      </w:r>
      <w:r w:rsidR="00371F32" w:rsidRPr="00DF2396">
        <w:rPr>
          <w:rFonts w:asciiTheme="majorBidi" w:hAnsiTheme="majorBidi" w:cstheme="majorBidi"/>
          <w:sz w:val="24"/>
          <w:szCs w:val="24"/>
        </w:rPr>
        <w:t xml:space="preserve"> варіюватися. Розслідування повинне бути доступним для сім’ї потерпілого настільки, наскільки це необхідно для захисту їхніх законних інтересів. Однак розкриття матеріалів справи не є автоматичною вимогою, оскільки вони можуть стосуватися чутливих питань. Результати розслідування повинні бути належним чином </w:t>
      </w:r>
      <w:r w:rsidR="00371F32" w:rsidRPr="00DF2396">
        <w:rPr>
          <w:rFonts w:asciiTheme="majorBidi" w:hAnsiTheme="majorBidi" w:cstheme="majorBidi"/>
          <w:sz w:val="24"/>
          <w:szCs w:val="24"/>
        </w:rPr>
        <w:lastRenderedPageBreak/>
        <w:t>доведені до відома найближчих родичів</w:t>
      </w:r>
      <w:r w:rsidR="00A2631B" w:rsidRPr="00A2631B">
        <w:rPr>
          <w:rFonts w:asciiTheme="majorBidi" w:hAnsiTheme="majorBidi" w:cstheme="majorBidi"/>
          <w:sz w:val="24"/>
          <w:szCs w:val="24"/>
          <w:lang w:val="ru-RU"/>
        </w:rPr>
        <w:t xml:space="preserve"> (</w:t>
      </w:r>
      <w:proofErr w:type="spellStart"/>
      <w:r w:rsidR="00A2631B">
        <w:rPr>
          <w:rFonts w:asciiTheme="majorBidi" w:hAnsiTheme="majorBidi" w:cstheme="majorBidi"/>
          <w:lang w:val="en-US"/>
        </w:rPr>
        <w:t>Hanan</w:t>
      </w:r>
      <w:proofErr w:type="spellEnd"/>
      <w:r w:rsidR="00A2631B" w:rsidRPr="00A2631B">
        <w:rPr>
          <w:rFonts w:asciiTheme="majorBidi" w:hAnsiTheme="majorBidi" w:cstheme="majorBidi"/>
          <w:lang w:val="ru-RU"/>
        </w:rPr>
        <w:t xml:space="preserve"> </w:t>
      </w:r>
      <w:r w:rsidR="00A2631B">
        <w:rPr>
          <w:rFonts w:asciiTheme="majorBidi" w:hAnsiTheme="majorBidi" w:cstheme="majorBidi"/>
          <w:lang w:val="en-US"/>
        </w:rPr>
        <w:t>v</w:t>
      </w:r>
      <w:r w:rsidR="00A2631B" w:rsidRPr="00A2631B">
        <w:rPr>
          <w:rFonts w:asciiTheme="majorBidi" w:hAnsiTheme="majorBidi" w:cstheme="majorBidi"/>
          <w:lang w:val="ru-RU"/>
        </w:rPr>
        <w:t xml:space="preserve">. </w:t>
      </w:r>
      <w:proofErr w:type="gramStart"/>
      <w:r w:rsidR="00A2631B">
        <w:rPr>
          <w:rFonts w:asciiTheme="majorBidi" w:hAnsiTheme="majorBidi" w:cstheme="majorBidi"/>
          <w:lang w:val="en-US"/>
        </w:rPr>
        <w:t>Germany</w:t>
      </w:r>
      <w:r w:rsidR="00A2631B" w:rsidRPr="00A2631B">
        <w:rPr>
          <w:rFonts w:asciiTheme="majorBidi" w:hAnsiTheme="majorBidi" w:cstheme="majorBidi"/>
          <w:lang w:val="ru-RU"/>
        </w:rPr>
        <w:t xml:space="preserve"> [</w:t>
      </w:r>
      <w:r w:rsidR="00A2631B">
        <w:rPr>
          <w:rFonts w:asciiTheme="majorBidi" w:hAnsiTheme="majorBidi" w:cstheme="majorBidi"/>
          <w:lang w:val="en-US"/>
        </w:rPr>
        <w:t>GC</w:t>
      </w:r>
      <w:r w:rsidR="00A2631B" w:rsidRPr="00A2631B">
        <w:rPr>
          <w:rFonts w:asciiTheme="majorBidi" w:hAnsiTheme="majorBidi" w:cstheme="majorBidi"/>
          <w:lang w:val="ru-RU"/>
        </w:rPr>
        <w:t>], §</w:t>
      </w:r>
      <w:r w:rsidR="00A2631B">
        <w:rPr>
          <w:rFonts w:asciiTheme="majorBidi" w:hAnsiTheme="majorBidi" w:cstheme="majorBidi"/>
          <w:lang w:val="en-US"/>
        </w:rPr>
        <w:t> </w:t>
      </w:r>
      <w:r w:rsidR="00A2631B" w:rsidRPr="00A2631B">
        <w:rPr>
          <w:rFonts w:asciiTheme="majorBidi" w:hAnsiTheme="majorBidi" w:cstheme="majorBidi"/>
          <w:lang w:val="ru-RU"/>
        </w:rPr>
        <w:t>208)</w:t>
      </w:r>
      <w:r w:rsidR="00371F32" w:rsidRPr="00DF2396">
        <w:rPr>
          <w:rFonts w:asciiTheme="majorBidi" w:hAnsiTheme="majorBidi" w:cstheme="majorBidi"/>
          <w:sz w:val="24"/>
          <w:szCs w:val="24"/>
        </w:rPr>
        <w:t>.</w:t>
      </w:r>
      <w:proofErr w:type="gramEnd"/>
      <w:r w:rsidR="00371F32" w:rsidRPr="00DF2396">
        <w:rPr>
          <w:rFonts w:asciiTheme="majorBidi" w:hAnsiTheme="majorBidi" w:cstheme="majorBidi"/>
          <w:sz w:val="24"/>
          <w:szCs w:val="24"/>
        </w:rPr>
        <w:t xml:space="preserve"> У справі </w:t>
      </w:r>
      <w:proofErr w:type="spellStart"/>
      <w:r w:rsidR="00371F32" w:rsidRPr="00DF2396">
        <w:rPr>
          <w:rFonts w:asciiTheme="majorBidi" w:hAnsiTheme="majorBidi" w:cstheme="majorBidi"/>
          <w:sz w:val="24"/>
          <w:szCs w:val="24"/>
        </w:rPr>
        <w:t>Ханан</w:t>
      </w:r>
      <w:proofErr w:type="spellEnd"/>
      <w:r w:rsidR="00371F32" w:rsidRPr="00DF2396">
        <w:rPr>
          <w:rFonts w:asciiTheme="majorBidi" w:hAnsiTheme="majorBidi" w:cstheme="majorBidi"/>
          <w:sz w:val="24"/>
          <w:szCs w:val="24"/>
        </w:rPr>
        <w:t xml:space="preserve"> проти Німеччини заявник скаржився про те, що 12 квітня 2010 року він подав заяву про злочин стосовно смерті його двох синів і попросив надати доступ до матеріалів справи. Однак справу було закрито через 4 дні без заслуховування заявника та до того, як його адвокату було надано доступ до матеріалів справи. Заявник вважав це суттєвим недоліком розслідування, оскільки він міг надати слідству релевантну інформацію, зокрема щодо кола осіб, присутніх на місці вибуху. Однак Європейський суд з прав людини встановив, що</w:t>
      </w:r>
      <w:r w:rsidR="001A57ED" w:rsidRPr="00DF2396">
        <w:rPr>
          <w:rFonts w:asciiTheme="majorBidi" w:hAnsiTheme="majorBidi" w:cstheme="majorBidi"/>
          <w:sz w:val="24"/>
          <w:szCs w:val="24"/>
        </w:rPr>
        <w:t xml:space="preserve"> у цьому конкретному випадку </w:t>
      </w:r>
      <w:proofErr w:type="spellStart"/>
      <w:r w:rsidR="001A57ED" w:rsidRPr="00DF2396">
        <w:rPr>
          <w:rFonts w:asciiTheme="majorBidi" w:hAnsiTheme="majorBidi" w:cstheme="majorBidi"/>
          <w:sz w:val="24"/>
          <w:szCs w:val="24"/>
        </w:rPr>
        <w:t>непроведення</w:t>
      </w:r>
      <w:proofErr w:type="spellEnd"/>
      <w:r w:rsidR="001A57ED" w:rsidRPr="00DF2396">
        <w:rPr>
          <w:rFonts w:asciiTheme="majorBidi" w:hAnsiTheme="majorBidi" w:cstheme="majorBidi"/>
          <w:sz w:val="24"/>
          <w:szCs w:val="24"/>
        </w:rPr>
        <w:t xml:space="preserve"> допиту заявника до закриття справи не була суттєвим недоліком, оскільки факт вбивства двох синів заявника і так були поза сумнівом. Заявник не зміг би надати додаткові відомості, релевантні для вирішення питання про наявність складу злочину з огляду на підстави, на які посилався Федеральний генеральний прокурор</w:t>
      </w:r>
      <w:r w:rsidR="00A2631B" w:rsidRPr="00A2631B">
        <w:rPr>
          <w:rFonts w:asciiTheme="majorBidi" w:hAnsiTheme="majorBidi" w:cstheme="majorBidi"/>
          <w:sz w:val="24"/>
          <w:szCs w:val="24"/>
          <w:lang w:val="ru-RU"/>
        </w:rPr>
        <w:t xml:space="preserve"> (</w:t>
      </w:r>
      <w:proofErr w:type="spellStart"/>
      <w:r w:rsidR="00A2631B">
        <w:rPr>
          <w:rFonts w:asciiTheme="majorBidi" w:hAnsiTheme="majorBidi" w:cstheme="majorBidi"/>
          <w:lang w:val="en-US"/>
        </w:rPr>
        <w:t>Hanan</w:t>
      </w:r>
      <w:proofErr w:type="spellEnd"/>
      <w:r w:rsidR="00A2631B">
        <w:rPr>
          <w:rFonts w:asciiTheme="majorBidi" w:hAnsiTheme="majorBidi" w:cstheme="majorBidi"/>
          <w:lang w:val="en-US"/>
        </w:rPr>
        <w:t> v</w:t>
      </w:r>
      <w:r w:rsidR="00A2631B" w:rsidRPr="00A2631B">
        <w:rPr>
          <w:rFonts w:asciiTheme="majorBidi" w:hAnsiTheme="majorBidi" w:cstheme="majorBidi"/>
          <w:lang w:val="ru-RU"/>
        </w:rPr>
        <w:t>.</w:t>
      </w:r>
      <w:r w:rsidR="00A2631B">
        <w:rPr>
          <w:rFonts w:asciiTheme="majorBidi" w:hAnsiTheme="majorBidi" w:cstheme="majorBidi"/>
          <w:lang w:val="en-US"/>
        </w:rPr>
        <w:t> Germany</w:t>
      </w:r>
      <w:r w:rsidR="00A2631B" w:rsidRPr="00A2631B">
        <w:rPr>
          <w:rFonts w:asciiTheme="majorBidi" w:hAnsiTheme="majorBidi" w:cstheme="majorBidi"/>
          <w:lang w:val="ru-RU"/>
        </w:rPr>
        <w:t xml:space="preserve"> [</w:t>
      </w:r>
      <w:r w:rsidR="00A2631B">
        <w:rPr>
          <w:rFonts w:asciiTheme="majorBidi" w:hAnsiTheme="majorBidi" w:cstheme="majorBidi"/>
          <w:lang w:val="en-US"/>
        </w:rPr>
        <w:t>GC</w:t>
      </w:r>
      <w:r w:rsidR="00A2631B" w:rsidRPr="00A2631B">
        <w:rPr>
          <w:rFonts w:asciiTheme="majorBidi" w:hAnsiTheme="majorBidi" w:cstheme="majorBidi"/>
          <w:lang w:val="ru-RU"/>
        </w:rPr>
        <w:t>], §§</w:t>
      </w:r>
      <w:r w:rsidR="00A2631B">
        <w:rPr>
          <w:rFonts w:asciiTheme="majorBidi" w:hAnsiTheme="majorBidi" w:cstheme="majorBidi"/>
          <w:lang w:val="en-US"/>
        </w:rPr>
        <w:t> </w:t>
      </w:r>
      <w:r w:rsidR="00A2631B" w:rsidRPr="00A2631B">
        <w:rPr>
          <w:rFonts w:asciiTheme="majorBidi" w:hAnsiTheme="majorBidi" w:cstheme="majorBidi"/>
          <w:lang w:val="ru-RU"/>
        </w:rPr>
        <w:t>230-231)</w:t>
      </w:r>
      <w:r w:rsidR="001A57ED" w:rsidRPr="00DF2396">
        <w:rPr>
          <w:rFonts w:asciiTheme="majorBidi" w:hAnsiTheme="majorBidi" w:cstheme="majorBidi"/>
          <w:sz w:val="24"/>
          <w:szCs w:val="24"/>
        </w:rPr>
        <w:t>. Очевидним є те, що ступінь та важливість залучення потерпілих буде залежати від конкретних обставин справи.</w:t>
      </w:r>
    </w:p>
    <w:p w:rsidR="001C1CFB" w:rsidRDefault="001C1CFB" w:rsidP="00DF2396">
      <w:pPr>
        <w:spacing w:line="240" w:lineRule="auto"/>
        <w:outlineLvl w:val="0"/>
        <w:rPr>
          <w:rFonts w:asciiTheme="majorBidi" w:hAnsiTheme="majorBidi" w:cstheme="majorBidi"/>
          <w:b/>
          <w:bCs/>
          <w:sz w:val="24"/>
          <w:szCs w:val="24"/>
          <w:lang w:val="en-US"/>
        </w:rPr>
      </w:pPr>
      <w:r w:rsidRPr="00DF2396">
        <w:rPr>
          <w:rFonts w:asciiTheme="majorBidi" w:hAnsiTheme="majorBidi" w:cstheme="majorBidi"/>
          <w:b/>
          <w:bCs/>
          <w:sz w:val="24"/>
          <w:szCs w:val="24"/>
        </w:rPr>
        <w:t>Висновки</w:t>
      </w:r>
    </w:p>
    <w:p w:rsidR="006A0D2F" w:rsidRDefault="006A0D2F" w:rsidP="006A0D2F">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Юрисдикція Високих Договірних Сторін Європейської конвенції з прав людини для цілей статті 1 Конвенції є передусім територіальною, однак Європейським судом з прав людини встановлено ряд виключень з цього загального принципу. Зокрема, у випадку окупації частини територій іншою державою Держава-Учасниця хоча і зберігає юрисдикцію щодо тимчасово окупованих територій, але в обмеженому вигляді. У випадку вчинення порушення за межами території Держави-Учасниці юрисдикційний у частині процесуальних зобов’язань може бути встановлений з факту ініціації кримінального розслідування, однак лише за умови наявності «особливих ознак», які не піддаються вичерпному перелічуванню. За наявності «особливих ознак» юрисдикційний зв'язок може бути встановлений і за відсутності ініціації кримінального розслідування.</w:t>
      </w:r>
    </w:p>
    <w:p w:rsidR="006A0D2F" w:rsidRDefault="006A0D2F" w:rsidP="006A0D2F">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Спектр порушень, за якими у Держави-Учасниці Конвенції є процесуальні зобов’язання, не обмежується статтями 2, 3 і 4 Конвенції. Такі зобов’язання виникають і щодо інших серйозних порушень, зокрема, за статтями</w:t>
      </w:r>
      <w:r w:rsidRPr="00DF2396">
        <w:rPr>
          <w:rFonts w:asciiTheme="majorBidi" w:hAnsiTheme="majorBidi" w:cstheme="majorBidi"/>
          <w:sz w:val="24"/>
          <w:szCs w:val="24"/>
        </w:rPr>
        <w:t xml:space="preserve"> 5</w:t>
      </w:r>
      <w:r w:rsidRPr="00DF2396">
        <w:rPr>
          <w:rStyle w:val="a8"/>
          <w:rFonts w:asciiTheme="majorBidi" w:hAnsiTheme="majorBidi" w:cstheme="majorBidi"/>
          <w:sz w:val="24"/>
          <w:szCs w:val="24"/>
        </w:rPr>
        <w:t>,</w:t>
      </w:r>
      <w:r w:rsidRPr="00DF2396">
        <w:rPr>
          <w:rFonts w:asciiTheme="majorBidi" w:hAnsiTheme="majorBidi" w:cstheme="majorBidi"/>
          <w:sz w:val="24"/>
          <w:szCs w:val="24"/>
        </w:rPr>
        <w:t xml:space="preserve"> 8, 9, 10, 11, 14, статті 1 Протоколу 1 до Конвенції</w:t>
      </w:r>
      <w:r>
        <w:rPr>
          <w:rFonts w:asciiTheme="majorBidi" w:hAnsiTheme="majorBidi" w:cstheme="majorBidi"/>
          <w:sz w:val="24"/>
          <w:szCs w:val="24"/>
        </w:rPr>
        <w:t>.</w:t>
      </w:r>
    </w:p>
    <w:p w:rsidR="006A0D2F" w:rsidRDefault="006A0D2F" w:rsidP="006A0D2F">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Обов’язок розслідувати порушення виникає не тільки у випадку отримання повідомлення про злочин, але і за наявності ознак, які вказують на вчинення порушення, навіть за відсутності заяви від потерпілої сторони.</w:t>
      </w:r>
    </w:p>
    <w:p w:rsidR="006A0D2F" w:rsidRPr="00A5118F" w:rsidRDefault="006A0D2F" w:rsidP="006A0D2F">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До розслідувань порушень, вчинених у контексті збройного конфлікту, Суд застосовує такі ж самі критерії ефективності розслідування, як і за звичайних умов (незалежність, адекватність (ретельність), громадський контроль і залучення потерпілого). Однак при оцінці відповідності розслідування зазначеним критеріям Суд враховує обставини справи та об’єктивні труднощі, спричинені бойовими діями.</w:t>
      </w:r>
    </w:p>
    <w:p w:rsidR="006A0D2F" w:rsidRDefault="006A0D2F" w:rsidP="00DF2396">
      <w:pPr>
        <w:spacing w:line="240" w:lineRule="auto"/>
        <w:outlineLvl w:val="0"/>
        <w:rPr>
          <w:rFonts w:asciiTheme="majorBidi" w:hAnsiTheme="majorBidi" w:cstheme="majorBidi"/>
          <w:b/>
          <w:bCs/>
          <w:sz w:val="24"/>
          <w:szCs w:val="24"/>
          <w:lang w:val="en-US"/>
        </w:rPr>
      </w:pPr>
    </w:p>
    <w:p w:rsidR="006A0D2F" w:rsidRDefault="006A0D2F" w:rsidP="00DF2396">
      <w:pPr>
        <w:spacing w:line="240" w:lineRule="auto"/>
        <w:outlineLvl w:val="0"/>
        <w:rPr>
          <w:rFonts w:asciiTheme="majorBidi" w:hAnsiTheme="majorBidi" w:cstheme="majorBidi"/>
          <w:b/>
          <w:bCs/>
          <w:sz w:val="24"/>
          <w:szCs w:val="24"/>
        </w:rPr>
      </w:pPr>
      <w:r>
        <w:rPr>
          <w:rFonts w:asciiTheme="majorBidi" w:hAnsiTheme="majorBidi" w:cstheme="majorBidi"/>
          <w:b/>
          <w:bCs/>
          <w:sz w:val="24"/>
          <w:szCs w:val="24"/>
        </w:rPr>
        <w:t>Конфлікт інтересів</w:t>
      </w:r>
    </w:p>
    <w:p w:rsidR="006A0D2F" w:rsidRDefault="006A0D2F" w:rsidP="00DF2396">
      <w:pPr>
        <w:spacing w:line="240" w:lineRule="auto"/>
        <w:outlineLvl w:val="0"/>
        <w:rPr>
          <w:rFonts w:asciiTheme="majorBidi" w:hAnsiTheme="majorBidi" w:cstheme="majorBidi"/>
          <w:sz w:val="24"/>
          <w:szCs w:val="24"/>
        </w:rPr>
      </w:pPr>
      <w:r w:rsidRPr="006A0D2F">
        <w:rPr>
          <w:rFonts w:asciiTheme="majorBidi" w:hAnsiTheme="majorBidi" w:cstheme="majorBidi"/>
          <w:sz w:val="24"/>
          <w:szCs w:val="24"/>
        </w:rPr>
        <w:tab/>
        <w:t>Немає.</w:t>
      </w:r>
    </w:p>
    <w:p w:rsidR="006A0D2F" w:rsidRPr="006A0D2F" w:rsidRDefault="006A0D2F" w:rsidP="00DF2396">
      <w:pPr>
        <w:spacing w:line="240" w:lineRule="auto"/>
        <w:outlineLvl w:val="0"/>
        <w:rPr>
          <w:rFonts w:asciiTheme="majorBidi" w:hAnsiTheme="majorBidi" w:cstheme="majorBidi"/>
          <w:b/>
          <w:bCs/>
          <w:sz w:val="24"/>
          <w:szCs w:val="24"/>
        </w:rPr>
      </w:pPr>
      <w:r w:rsidRPr="006A0D2F">
        <w:rPr>
          <w:rFonts w:asciiTheme="majorBidi" w:hAnsiTheme="majorBidi" w:cstheme="majorBidi"/>
          <w:b/>
          <w:bCs/>
          <w:sz w:val="24"/>
          <w:szCs w:val="24"/>
        </w:rPr>
        <w:t>Подяки</w:t>
      </w:r>
    </w:p>
    <w:p w:rsidR="006A0D2F" w:rsidRPr="006A0D2F" w:rsidRDefault="006A0D2F" w:rsidP="00DF2396">
      <w:pPr>
        <w:spacing w:line="240" w:lineRule="auto"/>
        <w:outlineLvl w:val="0"/>
        <w:rPr>
          <w:rFonts w:asciiTheme="majorBidi" w:hAnsiTheme="majorBidi" w:cstheme="majorBidi"/>
          <w:sz w:val="24"/>
          <w:szCs w:val="24"/>
        </w:rPr>
      </w:pPr>
      <w:r>
        <w:rPr>
          <w:rFonts w:asciiTheme="majorBidi" w:hAnsiTheme="majorBidi" w:cstheme="majorBidi"/>
          <w:sz w:val="24"/>
          <w:szCs w:val="24"/>
        </w:rPr>
        <w:tab/>
        <w:t>Немає.</w:t>
      </w:r>
    </w:p>
    <w:p w:rsidR="001C1CFB" w:rsidRPr="00DF2396" w:rsidRDefault="001C1CFB" w:rsidP="00DF2396">
      <w:pPr>
        <w:spacing w:line="240" w:lineRule="auto"/>
        <w:outlineLvl w:val="0"/>
        <w:rPr>
          <w:rFonts w:asciiTheme="majorBidi" w:hAnsiTheme="majorBidi" w:cstheme="majorBidi"/>
          <w:b/>
          <w:bCs/>
          <w:sz w:val="24"/>
          <w:szCs w:val="24"/>
          <w:lang w:val="en-US"/>
        </w:rPr>
      </w:pPr>
      <w:r w:rsidRPr="00DF2396">
        <w:rPr>
          <w:rFonts w:asciiTheme="majorBidi" w:hAnsiTheme="majorBidi" w:cstheme="majorBidi"/>
          <w:b/>
          <w:bCs/>
          <w:sz w:val="24"/>
          <w:szCs w:val="24"/>
        </w:rPr>
        <w:t>Список використаних джерел</w:t>
      </w:r>
    </w:p>
    <w:p w:rsidR="00A15BD5" w:rsidRPr="000D2F84" w:rsidRDefault="00A15BD5" w:rsidP="000D2F84">
      <w:pPr>
        <w:pStyle w:val="ae"/>
        <w:numPr>
          <w:ilvl w:val="0"/>
          <w:numId w:val="1"/>
        </w:numPr>
        <w:spacing w:after="0" w:line="240" w:lineRule="auto"/>
        <w:outlineLvl w:val="0"/>
        <w:rPr>
          <w:rFonts w:asciiTheme="majorBidi" w:hAnsiTheme="majorBidi" w:cstheme="majorBidi"/>
          <w:sz w:val="24"/>
          <w:szCs w:val="24"/>
          <w:lang w:val="en-US"/>
        </w:rPr>
      </w:pPr>
      <w:r w:rsidRPr="000D2F84">
        <w:rPr>
          <w:rFonts w:asciiTheme="majorBidi" w:hAnsiTheme="majorBidi" w:cstheme="majorBidi"/>
          <w:sz w:val="24"/>
          <w:szCs w:val="24"/>
          <w:lang w:val="en-US"/>
        </w:rPr>
        <w:t>Al-</w:t>
      </w:r>
      <w:proofErr w:type="spellStart"/>
      <w:r w:rsidRPr="000D2F84">
        <w:rPr>
          <w:rFonts w:asciiTheme="majorBidi" w:hAnsiTheme="majorBidi" w:cstheme="majorBidi"/>
          <w:sz w:val="24"/>
          <w:szCs w:val="24"/>
          <w:lang w:val="en-US"/>
        </w:rPr>
        <w:t>Skeini</w:t>
      </w:r>
      <w:proofErr w:type="spellEnd"/>
      <w:r w:rsidRPr="000D2F84">
        <w:rPr>
          <w:rFonts w:asciiTheme="majorBidi" w:hAnsiTheme="majorBidi" w:cstheme="majorBidi"/>
          <w:sz w:val="24"/>
          <w:szCs w:val="24"/>
          <w:lang w:val="en-US"/>
        </w:rPr>
        <w:t xml:space="preserve"> and Others v. the United Kingdom [GC], no. 55721/07, 07 July 2011, Reports of Judgments and Decisions 2011.</w:t>
      </w:r>
    </w:p>
    <w:p w:rsidR="00B90863" w:rsidRDefault="00B90863" w:rsidP="000D2F84">
      <w:pPr>
        <w:pStyle w:val="ae"/>
        <w:numPr>
          <w:ilvl w:val="0"/>
          <w:numId w:val="1"/>
        </w:numPr>
        <w:spacing w:after="0" w:line="240" w:lineRule="auto"/>
        <w:outlineLvl w:val="0"/>
        <w:rPr>
          <w:rFonts w:asciiTheme="majorBidi" w:hAnsiTheme="majorBidi" w:cstheme="majorBidi"/>
          <w:sz w:val="24"/>
          <w:szCs w:val="24"/>
          <w:lang w:val="en-US"/>
        </w:rPr>
      </w:pPr>
      <w:r w:rsidRPr="000D2F84">
        <w:rPr>
          <w:rFonts w:asciiTheme="majorBidi" w:hAnsiTheme="majorBidi" w:cstheme="majorBidi"/>
          <w:sz w:val="24"/>
          <w:szCs w:val="24"/>
          <w:lang w:val="en-US"/>
        </w:rPr>
        <w:t xml:space="preserve">Case of </w:t>
      </w:r>
      <w:proofErr w:type="spellStart"/>
      <w:r w:rsidRPr="000D2F84">
        <w:rPr>
          <w:rFonts w:asciiTheme="majorBidi" w:hAnsiTheme="majorBidi" w:cstheme="majorBidi"/>
          <w:sz w:val="24"/>
          <w:szCs w:val="24"/>
          <w:lang w:val="en-US"/>
        </w:rPr>
        <w:t>Abuyeva</w:t>
      </w:r>
      <w:proofErr w:type="spellEnd"/>
      <w:r w:rsidRPr="000D2F84">
        <w:rPr>
          <w:rFonts w:asciiTheme="majorBidi" w:hAnsiTheme="majorBidi" w:cstheme="majorBidi"/>
          <w:sz w:val="24"/>
          <w:szCs w:val="24"/>
          <w:lang w:val="en-US"/>
        </w:rPr>
        <w:t xml:space="preserve"> and Others v. Russia</w:t>
      </w:r>
      <w:r w:rsidR="000D2F84">
        <w:rPr>
          <w:rFonts w:asciiTheme="majorBidi" w:hAnsiTheme="majorBidi" w:cstheme="majorBidi"/>
          <w:sz w:val="24"/>
          <w:szCs w:val="24"/>
          <w:lang w:val="en-US"/>
        </w:rPr>
        <w:t>, no. 27065/05, 2 December 2010</w:t>
      </w:r>
      <w:r w:rsidRPr="000D2F84">
        <w:rPr>
          <w:rFonts w:asciiTheme="majorBidi" w:hAnsiTheme="majorBidi" w:cstheme="majorBidi"/>
          <w:sz w:val="24"/>
          <w:szCs w:val="24"/>
          <w:lang w:val="en-US"/>
        </w:rPr>
        <w:t>.</w:t>
      </w:r>
    </w:p>
    <w:p w:rsidR="000D2F84" w:rsidRDefault="000D2F84" w:rsidP="000D2F84">
      <w:pPr>
        <w:pStyle w:val="ae"/>
        <w:numPr>
          <w:ilvl w:val="0"/>
          <w:numId w:val="1"/>
        </w:numPr>
        <w:spacing w:after="0" w:line="240" w:lineRule="auto"/>
        <w:outlineLvl w:val="0"/>
        <w:rPr>
          <w:rFonts w:asciiTheme="majorBidi" w:hAnsiTheme="majorBidi" w:cstheme="majorBidi"/>
          <w:sz w:val="24"/>
          <w:szCs w:val="24"/>
          <w:lang w:val="en-US"/>
        </w:rPr>
      </w:pPr>
      <w:r w:rsidRPr="000D2F84">
        <w:rPr>
          <w:rFonts w:asciiTheme="majorBidi" w:hAnsiTheme="majorBidi" w:cstheme="majorBidi"/>
          <w:sz w:val="24"/>
          <w:szCs w:val="24"/>
          <w:lang w:val="en-US"/>
        </w:rPr>
        <w:t>Case of S.M. v</w:t>
      </w:r>
      <w:r>
        <w:rPr>
          <w:rFonts w:asciiTheme="majorBidi" w:hAnsiTheme="majorBidi" w:cstheme="majorBidi"/>
          <w:sz w:val="24"/>
          <w:szCs w:val="24"/>
          <w:lang w:val="en-US"/>
        </w:rPr>
        <w:t>.</w:t>
      </w:r>
      <w:r w:rsidRPr="000D2F84">
        <w:rPr>
          <w:rFonts w:asciiTheme="majorBidi" w:hAnsiTheme="majorBidi" w:cstheme="majorBidi"/>
          <w:sz w:val="24"/>
          <w:szCs w:val="24"/>
          <w:lang w:val="en-US"/>
        </w:rPr>
        <w:t xml:space="preserve"> Russia, no. 75863/11, 22 October 2015.</w:t>
      </w:r>
    </w:p>
    <w:p w:rsidR="000D2F84" w:rsidRPr="000D2F84" w:rsidRDefault="000D2F84" w:rsidP="000D2F84">
      <w:pPr>
        <w:pStyle w:val="ae"/>
        <w:numPr>
          <w:ilvl w:val="0"/>
          <w:numId w:val="1"/>
        </w:numPr>
        <w:spacing w:after="0" w:line="240" w:lineRule="auto"/>
        <w:outlineLvl w:val="0"/>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Case of </w:t>
      </w:r>
      <w:proofErr w:type="spellStart"/>
      <w:r>
        <w:rPr>
          <w:rFonts w:asciiTheme="majorBidi" w:hAnsiTheme="majorBidi" w:cstheme="majorBidi"/>
          <w:sz w:val="24"/>
          <w:szCs w:val="24"/>
          <w:lang w:val="en-US"/>
        </w:rPr>
        <w:t>Zoletic</w:t>
      </w:r>
      <w:proofErr w:type="spellEnd"/>
      <w:r>
        <w:rPr>
          <w:rFonts w:asciiTheme="majorBidi" w:hAnsiTheme="majorBidi" w:cstheme="majorBidi"/>
          <w:sz w:val="24"/>
          <w:szCs w:val="24"/>
          <w:lang w:val="en-US"/>
        </w:rPr>
        <w:t xml:space="preserve"> and Others v. Azerbaijan, no. 20116/12, 7 October 2021.</w:t>
      </w:r>
    </w:p>
    <w:p w:rsidR="00901B81" w:rsidRPr="000D2F84" w:rsidRDefault="00901B81" w:rsidP="000D2F84">
      <w:pPr>
        <w:pStyle w:val="ae"/>
        <w:numPr>
          <w:ilvl w:val="0"/>
          <w:numId w:val="1"/>
        </w:numPr>
        <w:spacing w:after="0" w:line="240" w:lineRule="auto"/>
        <w:outlineLvl w:val="0"/>
        <w:rPr>
          <w:rFonts w:asciiTheme="majorBidi" w:hAnsiTheme="majorBidi" w:cstheme="majorBidi"/>
          <w:sz w:val="24"/>
          <w:szCs w:val="24"/>
          <w:lang w:val="en-US"/>
        </w:rPr>
      </w:pPr>
      <w:r w:rsidRPr="000D2F84">
        <w:rPr>
          <w:rFonts w:asciiTheme="majorBidi" w:hAnsiTheme="majorBidi" w:cstheme="majorBidi"/>
          <w:sz w:val="24"/>
          <w:szCs w:val="24"/>
          <w:lang w:val="en-US"/>
        </w:rPr>
        <w:t>Georgia v. Russia (II) [GC], no. 38263/08, 21 January 2021.</w:t>
      </w:r>
    </w:p>
    <w:p w:rsidR="000077A5" w:rsidRPr="000D2F84" w:rsidRDefault="000077A5" w:rsidP="000D2F84">
      <w:pPr>
        <w:pStyle w:val="ae"/>
        <w:numPr>
          <w:ilvl w:val="0"/>
          <w:numId w:val="1"/>
        </w:numPr>
        <w:spacing w:after="0" w:line="240" w:lineRule="auto"/>
        <w:outlineLvl w:val="0"/>
        <w:rPr>
          <w:rFonts w:asciiTheme="majorBidi" w:hAnsiTheme="majorBidi" w:cstheme="majorBidi"/>
          <w:sz w:val="24"/>
          <w:szCs w:val="24"/>
          <w:lang w:val="en-US"/>
        </w:rPr>
      </w:pPr>
      <w:r w:rsidRPr="000D2F84">
        <w:rPr>
          <w:rFonts w:asciiTheme="majorBidi" w:hAnsiTheme="majorBidi" w:cstheme="majorBidi"/>
          <w:sz w:val="24"/>
          <w:szCs w:val="24"/>
          <w:lang w:val="en-US"/>
        </w:rPr>
        <w:t>Guide on Article 2 of the European Convention of Human Rights</w:t>
      </w:r>
      <w:r w:rsidR="00437A34" w:rsidRPr="000D2F84">
        <w:rPr>
          <w:rFonts w:asciiTheme="majorBidi" w:hAnsiTheme="majorBidi" w:cstheme="majorBidi"/>
          <w:sz w:val="24"/>
          <w:szCs w:val="24"/>
          <w:lang w:val="en-US"/>
        </w:rPr>
        <w:t xml:space="preserve"> (updated on 31 August 2022)</w:t>
      </w:r>
      <w:r w:rsidR="00437A34" w:rsidRPr="000D2F84">
        <w:rPr>
          <w:rFonts w:asciiTheme="majorBidi" w:hAnsiTheme="majorBidi" w:cstheme="majorBidi"/>
          <w:sz w:val="24"/>
          <w:szCs w:val="24"/>
        </w:rPr>
        <w:t xml:space="preserve">. </w:t>
      </w:r>
      <w:r w:rsidR="00437A34" w:rsidRPr="000D2F84">
        <w:rPr>
          <w:rFonts w:asciiTheme="majorBidi" w:hAnsiTheme="majorBidi" w:cstheme="majorBidi"/>
          <w:sz w:val="24"/>
          <w:szCs w:val="24"/>
          <w:lang w:val="en-US"/>
        </w:rPr>
        <w:t xml:space="preserve">Retrieved from: </w:t>
      </w:r>
      <w:hyperlink r:id="rId8" w:history="1">
        <w:r w:rsidR="00437A34" w:rsidRPr="000D2F84">
          <w:rPr>
            <w:rStyle w:val="a3"/>
            <w:rFonts w:asciiTheme="majorBidi" w:hAnsiTheme="majorBidi" w:cstheme="majorBidi"/>
            <w:sz w:val="24"/>
            <w:szCs w:val="24"/>
          </w:rPr>
          <w:t>https://www.echr.coe.int/Documents/Guide_Art_2_ENG.pdf</w:t>
        </w:r>
      </w:hyperlink>
    </w:p>
    <w:p w:rsidR="000077A5" w:rsidRPr="000D2F84" w:rsidRDefault="000077A5" w:rsidP="000D2F84">
      <w:pPr>
        <w:pStyle w:val="ae"/>
        <w:numPr>
          <w:ilvl w:val="0"/>
          <w:numId w:val="1"/>
        </w:numPr>
        <w:spacing w:after="0" w:line="240" w:lineRule="auto"/>
        <w:outlineLvl w:val="0"/>
        <w:rPr>
          <w:rFonts w:asciiTheme="majorBidi" w:hAnsiTheme="majorBidi" w:cstheme="majorBidi"/>
          <w:sz w:val="24"/>
          <w:szCs w:val="24"/>
          <w:lang w:val="en-US"/>
        </w:rPr>
      </w:pPr>
      <w:r w:rsidRPr="000D2F84">
        <w:rPr>
          <w:rFonts w:asciiTheme="majorBidi" w:hAnsiTheme="majorBidi" w:cstheme="majorBidi"/>
          <w:sz w:val="24"/>
          <w:szCs w:val="24"/>
          <w:lang w:val="en-US"/>
        </w:rPr>
        <w:t>Guide on Article 3 of the European Convention of Human Rights</w:t>
      </w:r>
      <w:r w:rsidR="00437A34" w:rsidRPr="000D2F84">
        <w:rPr>
          <w:rFonts w:asciiTheme="majorBidi" w:hAnsiTheme="majorBidi" w:cstheme="majorBidi"/>
          <w:sz w:val="24"/>
          <w:szCs w:val="24"/>
          <w:lang w:val="en-US"/>
        </w:rPr>
        <w:t xml:space="preserve"> (updated on 31 August 2022). Retrieved from: </w:t>
      </w:r>
      <w:hyperlink r:id="rId9" w:history="1">
        <w:r w:rsidR="00437A34" w:rsidRPr="000D2F84">
          <w:rPr>
            <w:rStyle w:val="a3"/>
            <w:rFonts w:asciiTheme="majorBidi" w:hAnsiTheme="majorBidi" w:cstheme="majorBidi"/>
            <w:sz w:val="24"/>
            <w:szCs w:val="24"/>
          </w:rPr>
          <w:t>https://www.echr.coe.int/Documents/Guide_Art_3_ENG.pdf</w:t>
        </w:r>
      </w:hyperlink>
      <w:r w:rsidR="00437A34" w:rsidRPr="000D2F84">
        <w:rPr>
          <w:rFonts w:asciiTheme="majorBidi" w:hAnsiTheme="majorBidi" w:cstheme="majorBidi"/>
          <w:sz w:val="24"/>
          <w:szCs w:val="24"/>
          <w:lang w:val="en-US"/>
        </w:rPr>
        <w:t xml:space="preserve"> </w:t>
      </w:r>
    </w:p>
    <w:p w:rsidR="000077A5" w:rsidRPr="000D2F84" w:rsidRDefault="000077A5" w:rsidP="000D2F84">
      <w:pPr>
        <w:pStyle w:val="ae"/>
        <w:numPr>
          <w:ilvl w:val="0"/>
          <w:numId w:val="1"/>
        </w:numPr>
        <w:spacing w:after="0" w:line="240" w:lineRule="auto"/>
        <w:rPr>
          <w:rFonts w:asciiTheme="majorBidi" w:hAnsiTheme="majorBidi" w:cstheme="majorBidi"/>
          <w:sz w:val="24"/>
          <w:szCs w:val="24"/>
          <w:lang w:val="en-US"/>
        </w:rPr>
      </w:pPr>
      <w:r w:rsidRPr="000D2F84">
        <w:rPr>
          <w:rFonts w:asciiTheme="majorBidi" w:hAnsiTheme="majorBidi" w:cstheme="majorBidi"/>
          <w:sz w:val="24"/>
          <w:szCs w:val="24"/>
          <w:lang w:val="en-US"/>
        </w:rPr>
        <w:t>Guide on Article 4 of the European Convention on Human Rights</w:t>
      </w:r>
      <w:r w:rsidR="00A15BD5" w:rsidRPr="000D2F84">
        <w:rPr>
          <w:rFonts w:asciiTheme="majorBidi" w:hAnsiTheme="majorBidi" w:cstheme="majorBidi"/>
          <w:sz w:val="24"/>
          <w:szCs w:val="24"/>
          <w:lang w:val="en-US"/>
        </w:rPr>
        <w:t xml:space="preserve"> (updated on 31 August 2022). Retrieved from: </w:t>
      </w:r>
      <w:hyperlink r:id="rId10" w:history="1">
        <w:r w:rsidR="00A15BD5" w:rsidRPr="000D2F84">
          <w:rPr>
            <w:rStyle w:val="a3"/>
            <w:rFonts w:asciiTheme="majorBidi" w:hAnsiTheme="majorBidi" w:cstheme="majorBidi"/>
            <w:sz w:val="24"/>
            <w:szCs w:val="24"/>
          </w:rPr>
          <w:t>https://www.echr.coe.int/Documents/Guide_Art_4_ENG.pdf</w:t>
        </w:r>
      </w:hyperlink>
    </w:p>
    <w:p w:rsidR="00B90863" w:rsidRPr="000D2F84" w:rsidRDefault="00B90863" w:rsidP="000D2F84">
      <w:pPr>
        <w:pStyle w:val="ae"/>
        <w:numPr>
          <w:ilvl w:val="0"/>
          <w:numId w:val="1"/>
        </w:numPr>
        <w:spacing w:after="0" w:line="240" w:lineRule="auto"/>
        <w:rPr>
          <w:rFonts w:asciiTheme="majorBidi" w:hAnsiTheme="majorBidi" w:cstheme="majorBidi"/>
          <w:sz w:val="24"/>
          <w:szCs w:val="24"/>
          <w:lang w:val="en-US"/>
        </w:rPr>
      </w:pPr>
      <w:proofErr w:type="spellStart"/>
      <w:r w:rsidRPr="000D2F84">
        <w:rPr>
          <w:rFonts w:asciiTheme="majorBidi" w:hAnsiTheme="majorBidi" w:cstheme="majorBidi"/>
          <w:sz w:val="24"/>
          <w:szCs w:val="24"/>
        </w:rPr>
        <w:t>Güzelyurtlu</w:t>
      </w:r>
      <w:proofErr w:type="spellEnd"/>
      <w:r w:rsidRPr="000D2F84">
        <w:rPr>
          <w:rFonts w:asciiTheme="majorBidi" w:hAnsiTheme="majorBidi" w:cstheme="majorBidi"/>
          <w:sz w:val="24"/>
          <w:szCs w:val="24"/>
        </w:rPr>
        <w:t xml:space="preserve"> </w:t>
      </w:r>
      <w:proofErr w:type="spellStart"/>
      <w:r w:rsidRPr="000D2F84">
        <w:rPr>
          <w:rFonts w:asciiTheme="majorBidi" w:hAnsiTheme="majorBidi" w:cstheme="majorBidi"/>
          <w:sz w:val="24"/>
          <w:szCs w:val="24"/>
        </w:rPr>
        <w:t>and</w:t>
      </w:r>
      <w:proofErr w:type="spellEnd"/>
      <w:r w:rsidRPr="000D2F84">
        <w:rPr>
          <w:rFonts w:asciiTheme="majorBidi" w:hAnsiTheme="majorBidi" w:cstheme="majorBidi"/>
          <w:sz w:val="24"/>
          <w:szCs w:val="24"/>
        </w:rPr>
        <w:t xml:space="preserve"> </w:t>
      </w:r>
      <w:proofErr w:type="spellStart"/>
      <w:r w:rsidRPr="000D2F84">
        <w:rPr>
          <w:rFonts w:asciiTheme="majorBidi" w:hAnsiTheme="majorBidi" w:cstheme="majorBidi"/>
          <w:sz w:val="24"/>
          <w:szCs w:val="24"/>
        </w:rPr>
        <w:t>Others</w:t>
      </w:r>
      <w:proofErr w:type="spellEnd"/>
      <w:r w:rsidRPr="000D2F84">
        <w:rPr>
          <w:rFonts w:asciiTheme="majorBidi" w:hAnsiTheme="majorBidi" w:cstheme="majorBidi"/>
          <w:sz w:val="24"/>
          <w:szCs w:val="24"/>
        </w:rPr>
        <w:t xml:space="preserve"> v. </w:t>
      </w:r>
      <w:proofErr w:type="spellStart"/>
      <w:r w:rsidRPr="000D2F84">
        <w:rPr>
          <w:rFonts w:asciiTheme="majorBidi" w:hAnsiTheme="majorBidi" w:cstheme="majorBidi"/>
          <w:sz w:val="24"/>
          <w:szCs w:val="24"/>
        </w:rPr>
        <w:t>Cyprus</w:t>
      </w:r>
      <w:proofErr w:type="spellEnd"/>
      <w:r w:rsidRPr="000D2F84">
        <w:rPr>
          <w:rFonts w:asciiTheme="majorBidi" w:hAnsiTheme="majorBidi" w:cstheme="majorBidi"/>
          <w:sz w:val="24"/>
          <w:szCs w:val="24"/>
        </w:rPr>
        <w:t xml:space="preserve"> </w:t>
      </w:r>
      <w:proofErr w:type="spellStart"/>
      <w:r w:rsidRPr="000D2F84">
        <w:rPr>
          <w:rFonts w:asciiTheme="majorBidi" w:hAnsiTheme="majorBidi" w:cstheme="majorBidi"/>
          <w:sz w:val="24"/>
          <w:szCs w:val="24"/>
        </w:rPr>
        <w:t>and</w:t>
      </w:r>
      <w:proofErr w:type="spellEnd"/>
      <w:r w:rsidRPr="000D2F84">
        <w:rPr>
          <w:rFonts w:asciiTheme="majorBidi" w:hAnsiTheme="majorBidi" w:cstheme="majorBidi"/>
          <w:sz w:val="24"/>
          <w:szCs w:val="24"/>
        </w:rPr>
        <w:t xml:space="preserve"> </w:t>
      </w:r>
      <w:proofErr w:type="spellStart"/>
      <w:r w:rsidRPr="000D2F84">
        <w:rPr>
          <w:rFonts w:asciiTheme="majorBidi" w:hAnsiTheme="majorBidi" w:cstheme="majorBidi"/>
          <w:sz w:val="24"/>
          <w:szCs w:val="24"/>
        </w:rPr>
        <w:t>Turkey</w:t>
      </w:r>
      <w:proofErr w:type="spellEnd"/>
      <w:r w:rsidRPr="000D2F84">
        <w:rPr>
          <w:rFonts w:asciiTheme="majorBidi" w:hAnsiTheme="majorBidi" w:cstheme="majorBidi"/>
          <w:sz w:val="24"/>
          <w:szCs w:val="24"/>
        </w:rPr>
        <w:t xml:space="preserve"> [GC]</w:t>
      </w:r>
      <w:r w:rsidRPr="000D2F84">
        <w:rPr>
          <w:rFonts w:asciiTheme="majorBidi" w:hAnsiTheme="majorBidi" w:cstheme="majorBidi"/>
          <w:sz w:val="24"/>
          <w:szCs w:val="24"/>
          <w:lang w:val="en-US"/>
        </w:rPr>
        <w:t>, no. 36925/07, 29 January 2019.</w:t>
      </w:r>
    </w:p>
    <w:p w:rsidR="00A2631B" w:rsidRPr="000D2F84" w:rsidRDefault="00A2631B" w:rsidP="000D2F84">
      <w:pPr>
        <w:pStyle w:val="ae"/>
        <w:numPr>
          <w:ilvl w:val="0"/>
          <w:numId w:val="1"/>
        </w:numPr>
        <w:spacing w:after="0" w:line="240" w:lineRule="auto"/>
        <w:rPr>
          <w:rFonts w:asciiTheme="majorBidi" w:hAnsiTheme="majorBidi" w:cstheme="majorBidi"/>
          <w:sz w:val="24"/>
          <w:szCs w:val="24"/>
          <w:lang w:val="en-US"/>
        </w:rPr>
      </w:pPr>
      <w:proofErr w:type="spellStart"/>
      <w:r w:rsidRPr="000D2F84">
        <w:rPr>
          <w:rFonts w:asciiTheme="majorBidi" w:hAnsiTheme="majorBidi" w:cstheme="majorBidi"/>
          <w:sz w:val="24"/>
          <w:szCs w:val="24"/>
          <w:lang w:val="en-US"/>
        </w:rPr>
        <w:t>Hanan</w:t>
      </w:r>
      <w:proofErr w:type="spellEnd"/>
      <w:r w:rsidRPr="000D2F84">
        <w:rPr>
          <w:rFonts w:asciiTheme="majorBidi" w:hAnsiTheme="majorBidi" w:cstheme="majorBidi"/>
          <w:sz w:val="24"/>
          <w:szCs w:val="24"/>
          <w:lang w:val="en-US"/>
        </w:rPr>
        <w:t xml:space="preserve"> v. Germany [GC], no. 4871/16, 16 February 2021.</w:t>
      </w:r>
    </w:p>
    <w:p w:rsidR="00901B81" w:rsidRDefault="00901B81" w:rsidP="000D2F84">
      <w:pPr>
        <w:pStyle w:val="ae"/>
        <w:numPr>
          <w:ilvl w:val="0"/>
          <w:numId w:val="1"/>
        </w:numPr>
        <w:spacing w:after="0" w:line="240" w:lineRule="auto"/>
        <w:rPr>
          <w:rFonts w:asciiTheme="majorBidi" w:hAnsiTheme="majorBidi" w:cstheme="majorBidi"/>
          <w:sz w:val="24"/>
          <w:szCs w:val="24"/>
          <w:lang w:val="en-US"/>
        </w:rPr>
      </w:pPr>
      <w:proofErr w:type="spellStart"/>
      <w:r w:rsidRPr="000D2F84">
        <w:rPr>
          <w:rFonts w:asciiTheme="majorBidi" w:hAnsiTheme="majorBidi" w:cstheme="majorBidi"/>
          <w:sz w:val="24"/>
          <w:szCs w:val="24"/>
          <w:lang w:val="en-US"/>
        </w:rPr>
        <w:t>Mozer</w:t>
      </w:r>
      <w:proofErr w:type="spellEnd"/>
      <w:r w:rsidRPr="000D2F84">
        <w:rPr>
          <w:rFonts w:asciiTheme="majorBidi" w:hAnsiTheme="majorBidi" w:cstheme="majorBidi"/>
          <w:sz w:val="24"/>
          <w:szCs w:val="24"/>
          <w:lang w:val="en-US"/>
        </w:rPr>
        <w:t xml:space="preserve"> v. the Republic of Moldova and Russia [GC], no. 11138/10, 23 February 2016, </w:t>
      </w:r>
      <w:proofErr w:type="spellStart"/>
      <w:r w:rsidRPr="000D2F84">
        <w:rPr>
          <w:rFonts w:asciiTheme="majorBidi" w:hAnsiTheme="majorBidi" w:cstheme="majorBidi"/>
          <w:sz w:val="24"/>
          <w:szCs w:val="24"/>
          <w:lang w:val="en-US"/>
        </w:rPr>
        <w:t>Reports</w:t>
      </w:r>
      <w:proofErr w:type="spellEnd"/>
      <w:r w:rsidRPr="000D2F84">
        <w:rPr>
          <w:rFonts w:asciiTheme="majorBidi" w:hAnsiTheme="majorBidi" w:cstheme="majorBidi"/>
          <w:sz w:val="24"/>
          <w:szCs w:val="24"/>
          <w:lang w:val="en-US"/>
        </w:rPr>
        <w:t xml:space="preserve"> </w:t>
      </w:r>
      <w:proofErr w:type="spellStart"/>
      <w:r w:rsidRPr="000D2F84">
        <w:rPr>
          <w:rFonts w:asciiTheme="majorBidi" w:hAnsiTheme="majorBidi" w:cstheme="majorBidi"/>
          <w:sz w:val="24"/>
          <w:szCs w:val="24"/>
          <w:lang w:val="en-US"/>
        </w:rPr>
        <w:t>of</w:t>
      </w:r>
      <w:proofErr w:type="spellEnd"/>
      <w:r w:rsidRPr="000D2F84">
        <w:rPr>
          <w:rFonts w:asciiTheme="majorBidi" w:hAnsiTheme="majorBidi" w:cstheme="majorBidi"/>
          <w:sz w:val="24"/>
          <w:szCs w:val="24"/>
          <w:lang w:val="en-US"/>
        </w:rPr>
        <w:t xml:space="preserve"> Judgments and Decisions 2016.</w:t>
      </w:r>
    </w:p>
    <w:p w:rsidR="000D2F84" w:rsidRPr="000D2F84" w:rsidRDefault="00B2462B" w:rsidP="000D2F84">
      <w:pPr>
        <w:pStyle w:val="ae"/>
        <w:numPr>
          <w:ilvl w:val="0"/>
          <w:numId w:val="1"/>
        </w:numPr>
        <w:spacing w:after="0" w:line="240" w:lineRule="auto"/>
        <w:rPr>
          <w:rFonts w:asciiTheme="majorBidi" w:hAnsiTheme="majorBidi" w:cstheme="majorBidi"/>
          <w:sz w:val="24"/>
          <w:szCs w:val="24"/>
          <w:lang w:val="en-US"/>
        </w:rPr>
      </w:pPr>
      <w:proofErr w:type="spellStart"/>
      <w:r>
        <w:rPr>
          <w:rFonts w:asciiTheme="majorBidi" w:hAnsiTheme="majorBidi" w:cstheme="majorBidi"/>
          <w:sz w:val="24"/>
          <w:szCs w:val="24"/>
        </w:rPr>
        <w:t>Mustafa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Tunç</w:t>
      </w:r>
      <w:proofErr w:type="spellEnd"/>
      <w:r>
        <w:rPr>
          <w:rFonts w:asciiTheme="majorBidi" w:hAnsiTheme="majorBidi" w:cstheme="majorBidi"/>
          <w:sz w:val="24"/>
          <w:szCs w:val="24"/>
        </w:rPr>
        <w:t xml:space="preserve"> </w:t>
      </w:r>
      <w:r>
        <w:rPr>
          <w:rFonts w:asciiTheme="majorBidi" w:hAnsiTheme="majorBidi" w:cstheme="majorBidi"/>
          <w:sz w:val="24"/>
          <w:szCs w:val="24"/>
          <w:lang w:val="en-US"/>
        </w:rPr>
        <w:t>and</w:t>
      </w:r>
      <w:r w:rsidR="000D2F84" w:rsidRPr="00A9484C">
        <w:rPr>
          <w:rFonts w:asciiTheme="majorBidi" w:hAnsiTheme="majorBidi" w:cstheme="majorBidi"/>
          <w:sz w:val="24"/>
          <w:szCs w:val="24"/>
        </w:rPr>
        <w:t xml:space="preserve"> </w:t>
      </w:r>
      <w:proofErr w:type="spellStart"/>
      <w:r w:rsidR="000D2F84" w:rsidRPr="00A9484C">
        <w:rPr>
          <w:rFonts w:asciiTheme="majorBidi" w:hAnsiTheme="majorBidi" w:cstheme="majorBidi"/>
          <w:sz w:val="24"/>
          <w:szCs w:val="24"/>
        </w:rPr>
        <w:t>Fecire</w:t>
      </w:r>
      <w:proofErr w:type="spellEnd"/>
      <w:r w:rsidR="000D2F84" w:rsidRPr="00A9484C">
        <w:rPr>
          <w:rFonts w:asciiTheme="majorBidi" w:hAnsiTheme="majorBidi" w:cstheme="majorBidi"/>
          <w:sz w:val="24"/>
          <w:szCs w:val="24"/>
        </w:rPr>
        <w:t xml:space="preserve"> </w:t>
      </w:r>
      <w:proofErr w:type="spellStart"/>
      <w:r w:rsidR="000D2F84" w:rsidRPr="00A9484C">
        <w:rPr>
          <w:rFonts w:asciiTheme="majorBidi" w:hAnsiTheme="majorBidi" w:cstheme="majorBidi"/>
          <w:sz w:val="24"/>
          <w:szCs w:val="24"/>
        </w:rPr>
        <w:t>Tunç</w:t>
      </w:r>
      <w:proofErr w:type="spellEnd"/>
      <w:r w:rsidR="000D2F84" w:rsidRPr="00A9484C">
        <w:rPr>
          <w:rFonts w:asciiTheme="majorBidi" w:hAnsiTheme="majorBidi" w:cstheme="majorBidi"/>
          <w:sz w:val="24"/>
          <w:szCs w:val="24"/>
        </w:rPr>
        <w:t xml:space="preserve"> </w:t>
      </w:r>
      <w:r w:rsidR="000D2F84">
        <w:rPr>
          <w:rFonts w:asciiTheme="majorBidi" w:hAnsiTheme="majorBidi" w:cstheme="majorBidi"/>
          <w:sz w:val="24"/>
          <w:szCs w:val="24"/>
          <w:lang w:val="en-US"/>
        </w:rPr>
        <w:t>v. Turkey [GC]</w:t>
      </w:r>
      <w:r>
        <w:rPr>
          <w:rFonts w:asciiTheme="majorBidi" w:hAnsiTheme="majorBidi" w:cstheme="majorBidi"/>
          <w:sz w:val="24"/>
          <w:szCs w:val="24"/>
          <w:lang w:val="en-US"/>
        </w:rPr>
        <w:t>, no. 24014/05, 14 April 2015.</w:t>
      </w:r>
    </w:p>
    <w:p w:rsidR="00B90863" w:rsidRPr="000D2F84" w:rsidRDefault="00B90863" w:rsidP="000D2F84">
      <w:pPr>
        <w:pStyle w:val="ae"/>
        <w:numPr>
          <w:ilvl w:val="0"/>
          <w:numId w:val="1"/>
        </w:numPr>
        <w:spacing w:after="0" w:line="240" w:lineRule="auto"/>
        <w:rPr>
          <w:rFonts w:asciiTheme="majorBidi" w:hAnsiTheme="majorBidi" w:cstheme="majorBidi"/>
          <w:sz w:val="24"/>
          <w:szCs w:val="24"/>
          <w:lang w:val="it-IT"/>
        </w:rPr>
      </w:pPr>
      <w:r w:rsidRPr="000D2F84">
        <w:rPr>
          <w:rFonts w:asciiTheme="majorBidi" w:hAnsiTheme="majorBidi" w:cstheme="majorBidi"/>
          <w:sz w:val="24"/>
          <w:szCs w:val="24"/>
          <w:lang w:val="it-IT"/>
        </w:rPr>
        <w:t>Nicolae Virgiliu Tănase v. Romania [GC], no. 41720/13, 25 June 2019.</w:t>
      </w:r>
    </w:p>
    <w:p w:rsidR="000D2F84" w:rsidRPr="000D2F84" w:rsidRDefault="000D2F84" w:rsidP="000D2F84">
      <w:pPr>
        <w:pStyle w:val="ae"/>
        <w:numPr>
          <w:ilvl w:val="0"/>
          <w:numId w:val="1"/>
        </w:numPr>
        <w:spacing w:after="0" w:line="240" w:lineRule="auto"/>
        <w:rPr>
          <w:rFonts w:asciiTheme="majorBidi" w:hAnsiTheme="majorBidi" w:cstheme="majorBidi"/>
          <w:sz w:val="24"/>
          <w:szCs w:val="24"/>
          <w:lang w:val="en-US"/>
        </w:rPr>
      </w:pPr>
      <w:r w:rsidRPr="000D2F84">
        <w:rPr>
          <w:rFonts w:asciiTheme="majorBidi" w:hAnsiTheme="majorBidi" w:cstheme="majorBidi"/>
          <w:sz w:val="24"/>
          <w:szCs w:val="24"/>
          <w:lang w:val="en-US"/>
        </w:rPr>
        <w:t>Ochigava v. Georgia, no. 14142/15, 16 February 2023</w:t>
      </w:r>
      <w:r>
        <w:rPr>
          <w:rFonts w:asciiTheme="majorBidi" w:hAnsiTheme="majorBidi" w:cstheme="majorBidi"/>
          <w:sz w:val="24"/>
          <w:szCs w:val="24"/>
          <w:lang w:val="en-US"/>
        </w:rPr>
        <w:t>.</w:t>
      </w:r>
    </w:p>
    <w:p w:rsidR="00BE58E3" w:rsidRPr="000D2F84" w:rsidRDefault="00BE58E3" w:rsidP="000D2F84">
      <w:pPr>
        <w:pStyle w:val="ae"/>
        <w:numPr>
          <w:ilvl w:val="0"/>
          <w:numId w:val="1"/>
        </w:numPr>
        <w:spacing w:after="0" w:line="240" w:lineRule="auto"/>
        <w:rPr>
          <w:rFonts w:asciiTheme="majorBidi" w:hAnsiTheme="majorBidi" w:cstheme="majorBidi"/>
          <w:sz w:val="24"/>
          <w:szCs w:val="24"/>
          <w:lang w:val="en-US"/>
        </w:rPr>
      </w:pPr>
      <w:r w:rsidRPr="000D2F84">
        <w:rPr>
          <w:rFonts w:asciiTheme="majorBidi" w:hAnsiTheme="majorBidi" w:cstheme="majorBidi"/>
          <w:sz w:val="24"/>
          <w:szCs w:val="24"/>
          <w:lang w:val="en-US"/>
        </w:rPr>
        <w:t xml:space="preserve">S.M. v. Croatia [GC], n. 60561/14, </w:t>
      </w:r>
      <w:r w:rsidR="00901B81" w:rsidRPr="000D2F84">
        <w:rPr>
          <w:rFonts w:asciiTheme="majorBidi" w:hAnsiTheme="majorBidi" w:cstheme="majorBidi"/>
          <w:sz w:val="24"/>
          <w:szCs w:val="24"/>
          <w:lang w:val="en-US"/>
        </w:rPr>
        <w:t xml:space="preserve">25 June </w:t>
      </w:r>
      <w:r w:rsidRPr="000D2F84">
        <w:rPr>
          <w:rFonts w:asciiTheme="majorBidi" w:hAnsiTheme="majorBidi" w:cstheme="majorBidi"/>
          <w:sz w:val="24"/>
          <w:szCs w:val="24"/>
          <w:lang w:val="en-US"/>
        </w:rPr>
        <w:t>2020.</w:t>
      </w:r>
    </w:p>
    <w:p w:rsidR="00B90863" w:rsidRPr="00B2462B" w:rsidRDefault="00B90863" w:rsidP="00B2462B">
      <w:pPr>
        <w:pStyle w:val="ae"/>
        <w:numPr>
          <w:ilvl w:val="0"/>
          <w:numId w:val="1"/>
        </w:numPr>
        <w:spacing w:after="0" w:line="240" w:lineRule="auto"/>
        <w:rPr>
          <w:rFonts w:asciiTheme="majorBidi" w:hAnsiTheme="majorBidi" w:cstheme="majorBidi"/>
          <w:sz w:val="24"/>
          <w:szCs w:val="24"/>
          <w:lang w:val="en-US"/>
        </w:rPr>
      </w:pPr>
      <w:proofErr w:type="spellStart"/>
      <w:r w:rsidRPr="000D2F84">
        <w:rPr>
          <w:rFonts w:asciiTheme="majorBidi" w:hAnsiTheme="majorBidi" w:cstheme="majorBidi"/>
          <w:sz w:val="24"/>
          <w:szCs w:val="24"/>
          <w:lang w:val="en-US"/>
        </w:rPr>
        <w:t>Varnava</w:t>
      </w:r>
      <w:proofErr w:type="spellEnd"/>
      <w:r w:rsidRPr="000D2F84">
        <w:rPr>
          <w:rFonts w:asciiTheme="majorBidi" w:hAnsiTheme="majorBidi" w:cstheme="majorBidi"/>
          <w:sz w:val="24"/>
          <w:szCs w:val="24"/>
          <w:lang w:val="en-US"/>
        </w:rPr>
        <w:t xml:space="preserve"> and Others v. Turkey [GC], nos. </w:t>
      </w:r>
      <w:hyperlink r:id="rId11" w:anchor="{%22appno%22:[%2216064/90%22]}" w:tgtFrame="_blank" w:history="1">
        <w:r w:rsidRPr="000D2F84">
          <w:rPr>
            <w:rFonts w:asciiTheme="majorBidi" w:hAnsiTheme="majorBidi" w:cstheme="majorBidi"/>
            <w:sz w:val="24"/>
            <w:szCs w:val="24"/>
            <w:lang w:val="en-US"/>
          </w:rPr>
          <w:t>16064/90</w:t>
        </w:r>
      </w:hyperlink>
      <w:r w:rsidRPr="000D2F84">
        <w:rPr>
          <w:rFonts w:asciiTheme="majorBidi" w:hAnsiTheme="majorBidi" w:cstheme="majorBidi"/>
          <w:sz w:val="24"/>
          <w:szCs w:val="24"/>
          <w:lang w:val="en-US"/>
        </w:rPr>
        <w:t xml:space="preserve">, </w:t>
      </w:r>
      <w:hyperlink r:id="rId12" w:anchor="{%22appno%22:[%2216065/90%22]}" w:tgtFrame="_blank" w:history="1">
        <w:r w:rsidRPr="000D2F84">
          <w:rPr>
            <w:rFonts w:asciiTheme="majorBidi" w:hAnsiTheme="majorBidi" w:cstheme="majorBidi"/>
            <w:sz w:val="24"/>
            <w:szCs w:val="24"/>
            <w:lang w:val="en-US"/>
          </w:rPr>
          <w:t>16065/90</w:t>
        </w:r>
      </w:hyperlink>
      <w:r w:rsidRPr="000D2F84">
        <w:rPr>
          <w:rFonts w:asciiTheme="majorBidi" w:hAnsiTheme="majorBidi" w:cstheme="majorBidi"/>
          <w:sz w:val="24"/>
          <w:szCs w:val="24"/>
          <w:lang w:val="en-US"/>
        </w:rPr>
        <w:t xml:space="preserve">, </w:t>
      </w:r>
      <w:hyperlink r:id="rId13" w:anchor="{%22appno%22:[%2216066/90%22]}" w:tgtFrame="_blank" w:history="1">
        <w:r w:rsidRPr="000D2F84">
          <w:rPr>
            <w:rFonts w:asciiTheme="majorBidi" w:hAnsiTheme="majorBidi" w:cstheme="majorBidi"/>
            <w:sz w:val="24"/>
            <w:szCs w:val="24"/>
            <w:lang w:val="en-US"/>
          </w:rPr>
          <w:t>16066/90</w:t>
        </w:r>
      </w:hyperlink>
      <w:r w:rsidRPr="000D2F84">
        <w:rPr>
          <w:rFonts w:asciiTheme="majorBidi" w:hAnsiTheme="majorBidi" w:cstheme="majorBidi"/>
          <w:sz w:val="24"/>
          <w:szCs w:val="24"/>
          <w:lang w:val="en-US"/>
        </w:rPr>
        <w:t xml:space="preserve">, </w:t>
      </w:r>
      <w:hyperlink r:id="rId14" w:anchor="{%22appno%22:[%2216068/90%22]}" w:tgtFrame="_blank" w:history="1">
        <w:r w:rsidRPr="000D2F84">
          <w:rPr>
            <w:rFonts w:asciiTheme="majorBidi" w:hAnsiTheme="majorBidi" w:cstheme="majorBidi"/>
            <w:sz w:val="24"/>
            <w:szCs w:val="24"/>
            <w:lang w:val="en-US"/>
          </w:rPr>
          <w:t>16068/90</w:t>
        </w:r>
      </w:hyperlink>
      <w:r w:rsidRPr="000D2F84">
        <w:rPr>
          <w:rFonts w:asciiTheme="majorBidi" w:hAnsiTheme="majorBidi" w:cstheme="majorBidi"/>
          <w:sz w:val="24"/>
          <w:szCs w:val="24"/>
          <w:lang w:val="en-US"/>
        </w:rPr>
        <w:t xml:space="preserve">, </w:t>
      </w:r>
      <w:hyperlink r:id="rId15" w:anchor="{%22appno%22:[%2216069/90%22]}" w:tgtFrame="_blank" w:history="1">
        <w:r w:rsidRPr="000D2F84">
          <w:rPr>
            <w:rFonts w:asciiTheme="majorBidi" w:hAnsiTheme="majorBidi" w:cstheme="majorBidi"/>
            <w:sz w:val="24"/>
            <w:szCs w:val="24"/>
            <w:lang w:val="en-US"/>
          </w:rPr>
          <w:t>16069/90</w:t>
        </w:r>
      </w:hyperlink>
      <w:r w:rsidRPr="000D2F84">
        <w:rPr>
          <w:rFonts w:asciiTheme="majorBidi" w:hAnsiTheme="majorBidi" w:cstheme="majorBidi"/>
          <w:sz w:val="24"/>
          <w:szCs w:val="24"/>
          <w:lang w:val="en-US"/>
        </w:rPr>
        <w:t xml:space="preserve">, </w:t>
      </w:r>
      <w:hyperlink r:id="rId16" w:anchor="{%22appno%22:[%2216070/90%22]}" w:tgtFrame="_blank" w:history="1">
        <w:r w:rsidRPr="000D2F84">
          <w:rPr>
            <w:rFonts w:asciiTheme="majorBidi" w:hAnsiTheme="majorBidi" w:cstheme="majorBidi"/>
            <w:sz w:val="24"/>
            <w:szCs w:val="24"/>
            <w:lang w:val="en-US"/>
          </w:rPr>
          <w:t>16070/90</w:t>
        </w:r>
      </w:hyperlink>
      <w:r w:rsidRPr="000D2F84">
        <w:rPr>
          <w:rFonts w:asciiTheme="majorBidi" w:hAnsiTheme="majorBidi" w:cstheme="majorBidi"/>
          <w:sz w:val="24"/>
          <w:szCs w:val="24"/>
          <w:lang w:val="en-US"/>
        </w:rPr>
        <w:t xml:space="preserve">, </w:t>
      </w:r>
      <w:hyperlink r:id="rId17" w:anchor="{%22appno%22:[%2216071/90%22]}" w:tgtFrame="_blank" w:history="1">
        <w:r w:rsidRPr="000D2F84">
          <w:rPr>
            <w:rFonts w:asciiTheme="majorBidi" w:hAnsiTheme="majorBidi" w:cstheme="majorBidi"/>
            <w:sz w:val="24"/>
            <w:szCs w:val="24"/>
            <w:lang w:val="en-US"/>
          </w:rPr>
          <w:t>16071/90</w:t>
        </w:r>
      </w:hyperlink>
      <w:r w:rsidRPr="000D2F84">
        <w:rPr>
          <w:rFonts w:asciiTheme="majorBidi" w:hAnsiTheme="majorBidi" w:cstheme="majorBidi"/>
          <w:sz w:val="24"/>
          <w:szCs w:val="24"/>
          <w:lang w:val="en-US"/>
        </w:rPr>
        <w:t xml:space="preserve">, </w:t>
      </w:r>
      <w:hyperlink r:id="rId18" w:anchor="{%22appno%22:[%2216072/90%22]}" w:tgtFrame="_blank" w:history="1">
        <w:r w:rsidRPr="000D2F84">
          <w:rPr>
            <w:rFonts w:asciiTheme="majorBidi" w:hAnsiTheme="majorBidi" w:cstheme="majorBidi"/>
            <w:sz w:val="24"/>
            <w:szCs w:val="24"/>
            <w:lang w:val="en-US"/>
          </w:rPr>
          <w:t>16072/90</w:t>
        </w:r>
      </w:hyperlink>
      <w:r w:rsidRPr="000D2F84">
        <w:rPr>
          <w:rFonts w:asciiTheme="majorBidi" w:hAnsiTheme="majorBidi" w:cstheme="majorBidi"/>
          <w:sz w:val="24"/>
          <w:szCs w:val="24"/>
          <w:lang w:val="en-US"/>
        </w:rPr>
        <w:t xml:space="preserve">, </w:t>
      </w:r>
      <w:hyperlink r:id="rId19" w:anchor="{%22appno%22:[%2216073/90%22]}" w:tgtFrame="_blank" w:history="1">
        <w:r w:rsidRPr="000D2F84">
          <w:rPr>
            <w:rFonts w:asciiTheme="majorBidi" w:hAnsiTheme="majorBidi" w:cstheme="majorBidi"/>
            <w:sz w:val="24"/>
            <w:szCs w:val="24"/>
            <w:lang w:val="en-US"/>
          </w:rPr>
          <w:t>16073/90</w:t>
        </w:r>
      </w:hyperlink>
      <w:r w:rsidRPr="000D2F84">
        <w:rPr>
          <w:rFonts w:asciiTheme="majorBidi" w:hAnsiTheme="majorBidi" w:cstheme="majorBidi"/>
          <w:sz w:val="24"/>
          <w:szCs w:val="24"/>
          <w:lang w:val="en-US"/>
        </w:rPr>
        <w:t xml:space="preserve">, 18 </w:t>
      </w:r>
      <w:r w:rsidRPr="00B2462B">
        <w:rPr>
          <w:rFonts w:asciiTheme="majorBidi" w:hAnsiTheme="majorBidi" w:cstheme="majorBidi"/>
          <w:sz w:val="24"/>
          <w:szCs w:val="24"/>
          <w:lang w:val="en-US"/>
        </w:rPr>
        <w:t xml:space="preserve">September 2009, </w:t>
      </w:r>
      <w:proofErr w:type="spellStart"/>
      <w:r w:rsidRPr="00B2462B">
        <w:rPr>
          <w:rFonts w:asciiTheme="majorBidi" w:hAnsiTheme="majorBidi" w:cstheme="majorBidi"/>
          <w:sz w:val="24"/>
          <w:szCs w:val="24"/>
          <w:lang w:val="en-US"/>
        </w:rPr>
        <w:t>Reports</w:t>
      </w:r>
      <w:proofErr w:type="spellEnd"/>
      <w:r w:rsidRPr="00B2462B">
        <w:rPr>
          <w:rFonts w:asciiTheme="majorBidi" w:hAnsiTheme="majorBidi" w:cstheme="majorBidi"/>
          <w:sz w:val="24"/>
          <w:szCs w:val="24"/>
          <w:lang w:val="en-US"/>
        </w:rPr>
        <w:t xml:space="preserve"> </w:t>
      </w:r>
      <w:proofErr w:type="spellStart"/>
      <w:r w:rsidRPr="00B2462B">
        <w:rPr>
          <w:rFonts w:asciiTheme="majorBidi" w:hAnsiTheme="majorBidi" w:cstheme="majorBidi"/>
          <w:sz w:val="24"/>
          <w:szCs w:val="24"/>
          <w:lang w:val="en-US"/>
        </w:rPr>
        <w:t>of</w:t>
      </w:r>
      <w:proofErr w:type="spellEnd"/>
      <w:r w:rsidRPr="00B2462B">
        <w:rPr>
          <w:rFonts w:asciiTheme="majorBidi" w:hAnsiTheme="majorBidi" w:cstheme="majorBidi"/>
          <w:sz w:val="24"/>
          <w:szCs w:val="24"/>
          <w:lang w:val="en-US"/>
        </w:rPr>
        <w:t xml:space="preserve"> Judgments and Decisions 2009.</w:t>
      </w:r>
    </w:p>
    <w:p w:rsidR="00B2462B" w:rsidRPr="00B2462B" w:rsidRDefault="00B2462B" w:rsidP="00B2462B">
      <w:pPr>
        <w:pStyle w:val="ae"/>
        <w:numPr>
          <w:ilvl w:val="0"/>
          <w:numId w:val="1"/>
        </w:numPr>
        <w:spacing w:after="0" w:line="240" w:lineRule="auto"/>
        <w:rPr>
          <w:rFonts w:asciiTheme="majorBidi" w:hAnsiTheme="majorBidi" w:cstheme="majorBidi"/>
          <w:sz w:val="24"/>
          <w:szCs w:val="24"/>
          <w:lang w:val="en-US"/>
        </w:rPr>
      </w:pPr>
      <w:proofErr w:type="spellStart"/>
      <w:r w:rsidRPr="00B2462B">
        <w:rPr>
          <w:rFonts w:asciiTheme="majorBidi" w:hAnsiTheme="majorBidi" w:cstheme="majorBidi"/>
          <w:sz w:val="24"/>
          <w:szCs w:val="24"/>
          <w:lang w:val="en-US"/>
        </w:rPr>
        <w:t>Velikova</w:t>
      </w:r>
      <w:proofErr w:type="spellEnd"/>
      <w:r w:rsidRPr="00B2462B">
        <w:rPr>
          <w:rFonts w:asciiTheme="majorBidi" w:hAnsiTheme="majorBidi" w:cstheme="majorBidi"/>
          <w:sz w:val="24"/>
          <w:szCs w:val="24"/>
          <w:lang w:val="en-US"/>
        </w:rPr>
        <w:t xml:space="preserve"> v. Bulgaria, no. 41488/98, 18 May 2000, </w:t>
      </w:r>
      <w:proofErr w:type="spellStart"/>
      <w:r w:rsidRPr="00B2462B">
        <w:rPr>
          <w:rFonts w:asciiTheme="majorBidi" w:hAnsiTheme="majorBidi" w:cstheme="majorBidi"/>
          <w:sz w:val="24"/>
          <w:szCs w:val="24"/>
          <w:lang w:val="en-US"/>
        </w:rPr>
        <w:t>Reports</w:t>
      </w:r>
      <w:proofErr w:type="spellEnd"/>
      <w:r w:rsidRPr="00B2462B">
        <w:rPr>
          <w:rFonts w:asciiTheme="majorBidi" w:hAnsiTheme="majorBidi" w:cstheme="majorBidi"/>
          <w:sz w:val="24"/>
          <w:szCs w:val="24"/>
          <w:lang w:val="en-US"/>
        </w:rPr>
        <w:t xml:space="preserve"> </w:t>
      </w:r>
      <w:proofErr w:type="spellStart"/>
      <w:r w:rsidRPr="00B2462B">
        <w:rPr>
          <w:rFonts w:asciiTheme="majorBidi" w:hAnsiTheme="majorBidi" w:cstheme="majorBidi"/>
          <w:sz w:val="24"/>
          <w:szCs w:val="24"/>
          <w:lang w:val="en-US"/>
        </w:rPr>
        <w:t>of</w:t>
      </w:r>
      <w:proofErr w:type="spellEnd"/>
      <w:r w:rsidRPr="00B2462B">
        <w:rPr>
          <w:rFonts w:asciiTheme="majorBidi" w:hAnsiTheme="majorBidi" w:cstheme="majorBidi"/>
          <w:sz w:val="24"/>
          <w:szCs w:val="24"/>
          <w:lang w:val="en-US"/>
        </w:rPr>
        <w:t xml:space="preserve"> </w:t>
      </w:r>
      <w:proofErr w:type="spellStart"/>
      <w:r w:rsidRPr="00B2462B">
        <w:rPr>
          <w:rFonts w:asciiTheme="majorBidi" w:hAnsiTheme="majorBidi" w:cstheme="majorBidi"/>
          <w:sz w:val="24"/>
          <w:szCs w:val="24"/>
          <w:lang w:val="en-US"/>
        </w:rPr>
        <w:t>Judgments</w:t>
      </w:r>
      <w:proofErr w:type="spellEnd"/>
      <w:r w:rsidRPr="00B2462B">
        <w:rPr>
          <w:rFonts w:asciiTheme="majorBidi" w:hAnsiTheme="majorBidi" w:cstheme="majorBidi"/>
          <w:sz w:val="24"/>
          <w:szCs w:val="24"/>
          <w:lang w:val="en-US"/>
        </w:rPr>
        <w:t xml:space="preserve"> </w:t>
      </w:r>
      <w:proofErr w:type="spellStart"/>
      <w:r w:rsidRPr="00B2462B">
        <w:rPr>
          <w:rFonts w:asciiTheme="majorBidi" w:hAnsiTheme="majorBidi" w:cstheme="majorBidi"/>
          <w:sz w:val="24"/>
          <w:szCs w:val="24"/>
          <w:lang w:val="en-US"/>
        </w:rPr>
        <w:t>and</w:t>
      </w:r>
      <w:proofErr w:type="spellEnd"/>
      <w:r w:rsidRPr="00B2462B">
        <w:rPr>
          <w:rFonts w:asciiTheme="majorBidi" w:hAnsiTheme="majorBidi" w:cstheme="majorBidi"/>
          <w:sz w:val="24"/>
          <w:szCs w:val="24"/>
          <w:lang w:val="en-US"/>
        </w:rPr>
        <w:t xml:space="preserve"> </w:t>
      </w:r>
      <w:proofErr w:type="spellStart"/>
      <w:r w:rsidRPr="00B2462B">
        <w:rPr>
          <w:rFonts w:asciiTheme="majorBidi" w:hAnsiTheme="majorBidi" w:cstheme="majorBidi"/>
          <w:sz w:val="24"/>
          <w:szCs w:val="24"/>
          <w:lang w:val="en-US"/>
        </w:rPr>
        <w:t>Decisions</w:t>
      </w:r>
      <w:proofErr w:type="spellEnd"/>
      <w:r w:rsidRPr="00B2462B">
        <w:rPr>
          <w:rFonts w:asciiTheme="majorBidi" w:hAnsiTheme="majorBidi" w:cstheme="majorBidi"/>
          <w:sz w:val="24"/>
          <w:szCs w:val="24"/>
          <w:lang w:val="en-US"/>
        </w:rPr>
        <w:t xml:space="preserve"> 2000-VI.</w:t>
      </w:r>
    </w:p>
    <w:p w:rsidR="00B90863" w:rsidRPr="00B2462B" w:rsidRDefault="00B90863" w:rsidP="000D2F84">
      <w:pPr>
        <w:spacing w:after="0" w:line="240" w:lineRule="auto"/>
        <w:rPr>
          <w:rFonts w:asciiTheme="majorBidi" w:hAnsiTheme="majorBidi" w:cstheme="majorBidi"/>
          <w:lang w:val="en-US"/>
        </w:rPr>
      </w:pPr>
    </w:p>
    <w:p w:rsidR="00763B22" w:rsidRPr="00B2462B" w:rsidRDefault="00763B22" w:rsidP="00DE181C">
      <w:pPr>
        <w:rPr>
          <w:rFonts w:asciiTheme="majorBidi" w:hAnsiTheme="majorBidi" w:cstheme="majorBidi"/>
          <w:sz w:val="24"/>
          <w:szCs w:val="24"/>
          <w:lang w:val="en-US"/>
        </w:rPr>
      </w:pPr>
    </w:p>
    <w:sectPr w:rsidR="00763B22" w:rsidRPr="00B2462B" w:rsidSect="00A0181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A88" w:rsidRDefault="00737A88" w:rsidP="005F1DD4">
      <w:pPr>
        <w:spacing w:after="0" w:line="240" w:lineRule="auto"/>
      </w:pPr>
      <w:r>
        <w:separator/>
      </w:r>
    </w:p>
  </w:endnote>
  <w:endnote w:type="continuationSeparator" w:id="0">
    <w:p w:rsidR="00737A88" w:rsidRDefault="00737A88" w:rsidP="005F1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A88" w:rsidRDefault="00737A88" w:rsidP="005F1DD4">
      <w:pPr>
        <w:spacing w:after="0" w:line="240" w:lineRule="auto"/>
      </w:pPr>
      <w:r>
        <w:separator/>
      </w:r>
    </w:p>
  </w:footnote>
  <w:footnote w:type="continuationSeparator" w:id="0">
    <w:p w:rsidR="00737A88" w:rsidRDefault="00737A88" w:rsidP="005F1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BEE"/>
    <w:multiLevelType w:val="hybridMultilevel"/>
    <w:tmpl w:val="01428724"/>
    <w:lvl w:ilvl="0" w:tplc="F50C5EEC">
      <w:start w:val="1"/>
      <w:numFmt w:val="decimal"/>
      <w:lvlText w:val="%1."/>
      <w:lvlJc w:val="left"/>
      <w:pPr>
        <w:ind w:left="720" w:hanging="360"/>
      </w:pPr>
      <w:rPr>
        <w:rFonts w:asciiTheme="majorBidi" w:hAnsiTheme="majorBidi" w:cstheme="maj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1817"/>
    <w:rsid w:val="000077A5"/>
    <w:rsid w:val="00022306"/>
    <w:rsid w:val="00072CC4"/>
    <w:rsid w:val="00072E26"/>
    <w:rsid w:val="000930FE"/>
    <w:rsid w:val="000C71EE"/>
    <w:rsid w:val="000D1C0D"/>
    <w:rsid w:val="000D2F84"/>
    <w:rsid w:val="000E3D50"/>
    <w:rsid w:val="00102DB7"/>
    <w:rsid w:val="00127A6C"/>
    <w:rsid w:val="001A57ED"/>
    <w:rsid w:val="001B7149"/>
    <w:rsid w:val="001C1CFB"/>
    <w:rsid w:val="001E0552"/>
    <w:rsid w:val="001E1F62"/>
    <w:rsid w:val="001E4454"/>
    <w:rsid w:val="0021504F"/>
    <w:rsid w:val="00262272"/>
    <w:rsid w:val="002623A8"/>
    <w:rsid w:val="00277CE5"/>
    <w:rsid w:val="002B72AE"/>
    <w:rsid w:val="002C177B"/>
    <w:rsid w:val="0034601E"/>
    <w:rsid w:val="00371F32"/>
    <w:rsid w:val="003A458C"/>
    <w:rsid w:val="004068E1"/>
    <w:rsid w:val="004331F6"/>
    <w:rsid w:val="00437A34"/>
    <w:rsid w:val="0046737A"/>
    <w:rsid w:val="00482AD3"/>
    <w:rsid w:val="004D33D2"/>
    <w:rsid w:val="004D7F8B"/>
    <w:rsid w:val="004E4375"/>
    <w:rsid w:val="004F0D6F"/>
    <w:rsid w:val="00500EBE"/>
    <w:rsid w:val="005109B2"/>
    <w:rsid w:val="00536B56"/>
    <w:rsid w:val="00551206"/>
    <w:rsid w:val="005B5D24"/>
    <w:rsid w:val="005C0174"/>
    <w:rsid w:val="005D4860"/>
    <w:rsid w:val="005E54F9"/>
    <w:rsid w:val="005F1DD4"/>
    <w:rsid w:val="00600AED"/>
    <w:rsid w:val="0061677E"/>
    <w:rsid w:val="00627D39"/>
    <w:rsid w:val="006A0D2F"/>
    <w:rsid w:val="006B648B"/>
    <w:rsid w:val="006E4F33"/>
    <w:rsid w:val="006F38F0"/>
    <w:rsid w:val="00710E66"/>
    <w:rsid w:val="00737A88"/>
    <w:rsid w:val="00763B22"/>
    <w:rsid w:val="007875B0"/>
    <w:rsid w:val="007C457F"/>
    <w:rsid w:val="007D52A2"/>
    <w:rsid w:val="008147E4"/>
    <w:rsid w:val="008372F0"/>
    <w:rsid w:val="008F6D0C"/>
    <w:rsid w:val="00901B81"/>
    <w:rsid w:val="00925247"/>
    <w:rsid w:val="009424F3"/>
    <w:rsid w:val="009572BA"/>
    <w:rsid w:val="00980DE5"/>
    <w:rsid w:val="00991B55"/>
    <w:rsid w:val="009A3685"/>
    <w:rsid w:val="009B040D"/>
    <w:rsid w:val="009D16A2"/>
    <w:rsid w:val="00A010BE"/>
    <w:rsid w:val="00A01817"/>
    <w:rsid w:val="00A01F5C"/>
    <w:rsid w:val="00A04DA9"/>
    <w:rsid w:val="00A04F95"/>
    <w:rsid w:val="00A15BD5"/>
    <w:rsid w:val="00A2631B"/>
    <w:rsid w:val="00A410EB"/>
    <w:rsid w:val="00A446C2"/>
    <w:rsid w:val="00A5118F"/>
    <w:rsid w:val="00A613DF"/>
    <w:rsid w:val="00A85B9A"/>
    <w:rsid w:val="00A9484C"/>
    <w:rsid w:val="00A95154"/>
    <w:rsid w:val="00A95DD2"/>
    <w:rsid w:val="00AC017B"/>
    <w:rsid w:val="00AF4105"/>
    <w:rsid w:val="00B06694"/>
    <w:rsid w:val="00B2462B"/>
    <w:rsid w:val="00B51B60"/>
    <w:rsid w:val="00B90863"/>
    <w:rsid w:val="00BE58E3"/>
    <w:rsid w:val="00C12BBF"/>
    <w:rsid w:val="00C15CB6"/>
    <w:rsid w:val="00C26F8F"/>
    <w:rsid w:val="00C82C6A"/>
    <w:rsid w:val="00C83447"/>
    <w:rsid w:val="00CA5B2D"/>
    <w:rsid w:val="00CD45A9"/>
    <w:rsid w:val="00D13B43"/>
    <w:rsid w:val="00D21347"/>
    <w:rsid w:val="00DB2B6D"/>
    <w:rsid w:val="00DE181C"/>
    <w:rsid w:val="00DF2396"/>
    <w:rsid w:val="00DF283B"/>
    <w:rsid w:val="00E21BDD"/>
    <w:rsid w:val="00E227CD"/>
    <w:rsid w:val="00E26D1B"/>
    <w:rsid w:val="00E34899"/>
    <w:rsid w:val="00E47CC7"/>
    <w:rsid w:val="00E65196"/>
    <w:rsid w:val="00E77EE8"/>
    <w:rsid w:val="00EB3D10"/>
    <w:rsid w:val="00EE44E7"/>
    <w:rsid w:val="00F029DD"/>
    <w:rsid w:val="00F03972"/>
    <w:rsid w:val="00F2594A"/>
    <w:rsid w:val="00F41838"/>
    <w:rsid w:val="00F562E3"/>
    <w:rsid w:val="00F82BA5"/>
    <w:rsid w:val="00F84C1C"/>
    <w:rsid w:val="00FB405C"/>
    <w:rsid w:val="00FB7FC4"/>
    <w:rsid w:val="00FE2386"/>
    <w:rsid w:val="00FE7664"/>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A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5D4860"/>
  </w:style>
  <w:style w:type="character" w:styleId="a3">
    <w:name w:val="Hyperlink"/>
    <w:basedOn w:val="a0"/>
    <w:uiPriority w:val="99"/>
    <w:semiHidden/>
    <w:unhideWhenUsed/>
    <w:rsid w:val="005D4860"/>
    <w:rPr>
      <w:color w:val="0000FF"/>
      <w:u w:val="single"/>
    </w:rPr>
  </w:style>
  <w:style w:type="character" w:styleId="a4">
    <w:name w:val="Emphasis"/>
    <w:basedOn w:val="a0"/>
    <w:uiPriority w:val="20"/>
    <w:qFormat/>
    <w:rsid w:val="007875B0"/>
    <w:rPr>
      <w:i/>
      <w:iCs/>
    </w:rPr>
  </w:style>
  <w:style w:type="table" w:styleId="a5">
    <w:name w:val="Table Grid"/>
    <w:basedOn w:val="a1"/>
    <w:uiPriority w:val="59"/>
    <w:rsid w:val="00C8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5F1DD4"/>
    <w:pPr>
      <w:spacing w:after="0" w:line="240" w:lineRule="auto"/>
    </w:pPr>
    <w:rPr>
      <w:sz w:val="20"/>
      <w:szCs w:val="20"/>
    </w:rPr>
  </w:style>
  <w:style w:type="character" w:customStyle="1" w:styleId="a7">
    <w:name w:val="Текст сноски Знак"/>
    <w:basedOn w:val="a0"/>
    <w:link w:val="a6"/>
    <w:uiPriority w:val="99"/>
    <w:semiHidden/>
    <w:rsid w:val="005F1DD4"/>
    <w:rPr>
      <w:sz w:val="20"/>
      <w:szCs w:val="20"/>
    </w:rPr>
  </w:style>
  <w:style w:type="character" w:styleId="a8">
    <w:name w:val="footnote reference"/>
    <w:basedOn w:val="a0"/>
    <w:uiPriority w:val="99"/>
    <w:semiHidden/>
    <w:unhideWhenUsed/>
    <w:rsid w:val="005F1DD4"/>
    <w:rPr>
      <w:vertAlign w:val="superscript"/>
    </w:rPr>
  </w:style>
  <w:style w:type="paragraph" w:styleId="a9">
    <w:name w:val="Document Map"/>
    <w:basedOn w:val="a"/>
    <w:link w:val="aa"/>
    <w:uiPriority w:val="99"/>
    <w:semiHidden/>
    <w:unhideWhenUsed/>
    <w:rsid w:val="00A85B9A"/>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85B9A"/>
    <w:rPr>
      <w:rFonts w:ascii="Tahoma" w:hAnsi="Tahoma" w:cs="Tahoma"/>
      <w:sz w:val="16"/>
      <w:szCs w:val="16"/>
    </w:rPr>
  </w:style>
  <w:style w:type="paragraph" w:styleId="ab">
    <w:name w:val="endnote text"/>
    <w:basedOn w:val="a"/>
    <w:link w:val="ac"/>
    <w:uiPriority w:val="99"/>
    <w:semiHidden/>
    <w:unhideWhenUsed/>
    <w:rsid w:val="00F84C1C"/>
    <w:pPr>
      <w:spacing w:after="0" w:line="240" w:lineRule="auto"/>
    </w:pPr>
    <w:rPr>
      <w:sz w:val="20"/>
      <w:szCs w:val="20"/>
    </w:rPr>
  </w:style>
  <w:style w:type="character" w:customStyle="1" w:styleId="ac">
    <w:name w:val="Текст концевой сноски Знак"/>
    <w:basedOn w:val="a0"/>
    <w:link w:val="ab"/>
    <w:uiPriority w:val="99"/>
    <w:semiHidden/>
    <w:rsid w:val="00F84C1C"/>
    <w:rPr>
      <w:sz w:val="20"/>
      <w:szCs w:val="20"/>
    </w:rPr>
  </w:style>
  <w:style w:type="character" w:styleId="ad">
    <w:name w:val="endnote reference"/>
    <w:basedOn w:val="a0"/>
    <w:uiPriority w:val="99"/>
    <w:semiHidden/>
    <w:unhideWhenUsed/>
    <w:rsid w:val="00F84C1C"/>
    <w:rPr>
      <w:vertAlign w:val="superscript"/>
    </w:rPr>
  </w:style>
  <w:style w:type="character" w:customStyle="1" w:styleId="sbc73225d">
    <w:name w:val="sbc73225d"/>
    <w:basedOn w:val="a0"/>
    <w:rsid w:val="00072E26"/>
  </w:style>
  <w:style w:type="character" w:customStyle="1" w:styleId="s68f5eaef">
    <w:name w:val="s68f5eaef"/>
    <w:basedOn w:val="a0"/>
    <w:rsid w:val="00072E26"/>
  </w:style>
  <w:style w:type="paragraph" w:styleId="ae">
    <w:name w:val="List Paragraph"/>
    <w:basedOn w:val="a"/>
    <w:uiPriority w:val="34"/>
    <w:qFormat/>
    <w:rsid w:val="000D2F84"/>
    <w:pPr>
      <w:ind w:left="720"/>
      <w:contextualSpacing/>
    </w:pPr>
  </w:style>
</w:styles>
</file>

<file path=word/webSettings.xml><?xml version="1.0" encoding="utf-8"?>
<w:webSettings xmlns:r="http://schemas.openxmlformats.org/officeDocument/2006/relationships" xmlns:w="http://schemas.openxmlformats.org/wordprocessingml/2006/main">
  <w:divs>
    <w:div w:id="410465238">
      <w:bodyDiv w:val="1"/>
      <w:marLeft w:val="0"/>
      <w:marRight w:val="0"/>
      <w:marTop w:val="0"/>
      <w:marBottom w:val="0"/>
      <w:divBdr>
        <w:top w:val="none" w:sz="0" w:space="0" w:color="auto"/>
        <w:left w:val="none" w:sz="0" w:space="0" w:color="auto"/>
        <w:bottom w:val="none" w:sz="0" w:space="0" w:color="auto"/>
        <w:right w:val="none" w:sz="0" w:space="0" w:color="auto"/>
      </w:divBdr>
      <w:divsChild>
        <w:div w:id="63992777">
          <w:marLeft w:val="0"/>
          <w:marRight w:val="0"/>
          <w:marTop w:val="0"/>
          <w:marBottom w:val="0"/>
          <w:divBdr>
            <w:top w:val="none" w:sz="0" w:space="0" w:color="auto"/>
            <w:left w:val="none" w:sz="0" w:space="0" w:color="auto"/>
            <w:bottom w:val="none" w:sz="0" w:space="0" w:color="auto"/>
            <w:right w:val="none" w:sz="0" w:space="0" w:color="auto"/>
          </w:divBdr>
        </w:div>
        <w:div w:id="106122358">
          <w:marLeft w:val="0"/>
          <w:marRight w:val="0"/>
          <w:marTop w:val="0"/>
          <w:marBottom w:val="0"/>
          <w:divBdr>
            <w:top w:val="none" w:sz="0" w:space="0" w:color="auto"/>
            <w:left w:val="none" w:sz="0" w:space="0" w:color="auto"/>
            <w:bottom w:val="none" w:sz="0" w:space="0" w:color="auto"/>
            <w:right w:val="none" w:sz="0" w:space="0" w:color="auto"/>
          </w:divBdr>
        </w:div>
        <w:div w:id="1891961067">
          <w:marLeft w:val="0"/>
          <w:marRight w:val="0"/>
          <w:marTop w:val="0"/>
          <w:marBottom w:val="0"/>
          <w:divBdr>
            <w:top w:val="none" w:sz="0" w:space="0" w:color="auto"/>
            <w:left w:val="none" w:sz="0" w:space="0" w:color="auto"/>
            <w:bottom w:val="none" w:sz="0" w:space="0" w:color="auto"/>
            <w:right w:val="none" w:sz="0" w:space="0" w:color="auto"/>
          </w:divBdr>
        </w:div>
        <w:div w:id="587470708">
          <w:marLeft w:val="0"/>
          <w:marRight w:val="0"/>
          <w:marTop w:val="0"/>
          <w:marBottom w:val="0"/>
          <w:divBdr>
            <w:top w:val="none" w:sz="0" w:space="0" w:color="auto"/>
            <w:left w:val="none" w:sz="0" w:space="0" w:color="auto"/>
            <w:bottom w:val="none" w:sz="0" w:space="0" w:color="auto"/>
            <w:right w:val="none" w:sz="0" w:space="0" w:color="auto"/>
          </w:divBdr>
        </w:div>
        <w:div w:id="1189677672">
          <w:marLeft w:val="0"/>
          <w:marRight w:val="0"/>
          <w:marTop w:val="0"/>
          <w:marBottom w:val="0"/>
          <w:divBdr>
            <w:top w:val="none" w:sz="0" w:space="0" w:color="auto"/>
            <w:left w:val="none" w:sz="0" w:space="0" w:color="auto"/>
            <w:bottom w:val="none" w:sz="0" w:space="0" w:color="auto"/>
            <w:right w:val="none" w:sz="0" w:space="0" w:color="auto"/>
          </w:divBdr>
        </w:div>
        <w:div w:id="1321691409">
          <w:marLeft w:val="0"/>
          <w:marRight w:val="0"/>
          <w:marTop w:val="0"/>
          <w:marBottom w:val="0"/>
          <w:divBdr>
            <w:top w:val="none" w:sz="0" w:space="0" w:color="auto"/>
            <w:left w:val="none" w:sz="0" w:space="0" w:color="auto"/>
            <w:bottom w:val="none" w:sz="0" w:space="0" w:color="auto"/>
            <w:right w:val="none" w:sz="0" w:space="0" w:color="auto"/>
          </w:divBdr>
        </w:div>
        <w:div w:id="1760712514">
          <w:marLeft w:val="0"/>
          <w:marRight w:val="0"/>
          <w:marTop w:val="0"/>
          <w:marBottom w:val="0"/>
          <w:divBdr>
            <w:top w:val="none" w:sz="0" w:space="0" w:color="auto"/>
            <w:left w:val="none" w:sz="0" w:space="0" w:color="auto"/>
            <w:bottom w:val="none" w:sz="0" w:space="0" w:color="auto"/>
            <w:right w:val="none" w:sz="0" w:space="0" w:color="auto"/>
          </w:divBdr>
        </w:div>
        <w:div w:id="386806101">
          <w:marLeft w:val="0"/>
          <w:marRight w:val="0"/>
          <w:marTop w:val="0"/>
          <w:marBottom w:val="0"/>
          <w:divBdr>
            <w:top w:val="none" w:sz="0" w:space="0" w:color="auto"/>
            <w:left w:val="none" w:sz="0" w:space="0" w:color="auto"/>
            <w:bottom w:val="none" w:sz="0" w:space="0" w:color="auto"/>
            <w:right w:val="none" w:sz="0" w:space="0" w:color="auto"/>
          </w:divBdr>
        </w:div>
        <w:div w:id="816996796">
          <w:marLeft w:val="0"/>
          <w:marRight w:val="0"/>
          <w:marTop w:val="0"/>
          <w:marBottom w:val="0"/>
          <w:divBdr>
            <w:top w:val="none" w:sz="0" w:space="0" w:color="auto"/>
            <w:left w:val="none" w:sz="0" w:space="0" w:color="auto"/>
            <w:bottom w:val="none" w:sz="0" w:space="0" w:color="auto"/>
            <w:right w:val="none" w:sz="0" w:space="0" w:color="auto"/>
          </w:divBdr>
        </w:div>
      </w:divsChild>
    </w:div>
    <w:div w:id="1479109508">
      <w:bodyDiv w:val="1"/>
      <w:marLeft w:val="0"/>
      <w:marRight w:val="0"/>
      <w:marTop w:val="0"/>
      <w:marBottom w:val="0"/>
      <w:divBdr>
        <w:top w:val="none" w:sz="0" w:space="0" w:color="auto"/>
        <w:left w:val="none" w:sz="0" w:space="0" w:color="auto"/>
        <w:bottom w:val="none" w:sz="0" w:space="0" w:color="auto"/>
        <w:right w:val="none" w:sz="0" w:space="0" w:color="auto"/>
      </w:divBdr>
      <w:divsChild>
        <w:div w:id="1661040823">
          <w:marLeft w:val="0"/>
          <w:marRight w:val="0"/>
          <w:marTop w:val="0"/>
          <w:marBottom w:val="0"/>
          <w:divBdr>
            <w:top w:val="none" w:sz="0" w:space="0" w:color="auto"/>
            <w:left w:val="none" w:sz="0" w:space="0" w:color="auto"/>
            <w:bottom w:val="none" w:sz="0" w:space="0" w:color="auto"/>
            <w:right w:val="none" w:sz="0" w:space="0" w:color="auto"/>
          </w:divBdr>
        </w:div>
        <w:div w:id="1722170995">
          <w:marLeft w:val="0"/>
          <w:marRight w:val="0"/>
          <w:marTop w:val="0"/>
          <w:marBottom w:val="0"/>
          <w:divBdr>
            <w:top w:val="none" w:sz="0" w:space="0" w:color="auto"/>
            <w:left w:val="none" w:sz="0" w:space="0" w:color="auto"/>
            <w:bottom w:val="none" w:sz="0" w:space="0" w:color="auto"/>
            <w:right w:val="none" w:sz="0" w:space="0" w:color="auto"/>
          </w:divBdr>
          <w:divsChild>
            <w:div w:id="9167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Guide_Art_2_ENG.pdf" TargetMode="External"/><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hyperlink" Target="https://www.echr.coe.int/Documents/Guide_Art_4_ENG.pdf" TargetMode="External"/><Relationship Id="rId19"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www.echr.coe.int/Documents/Guide_Art_3_ENG.pdf" TargetMode="External"/><Relationship Id="rId14" Type="http://schemas.openxmlformats.org/officeDocument/2006/relationships/hyperlink" Target="https://hudoc.echr.coe.int/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165B4-B796-4AC1-821C-DB36923C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3919</Words>
  <Characters>25558</Characters>
  <Application>Microsoft Office Word</Application>
  <DocSecurity>0</DocSecurity>
  <Lines>399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Shramova</dc:creator>
  <cp:lastModifiedBy>Shramova</cp:lastModifiedBy>
  <cp:revision>7</cp:revision>
  <dcterms:created xsi:type="dcterms:W3CDTF">2023-04-02T15:11:00Z</dcterms:created>
  <dcterms:modified xsi:type="dcterms:W3CDTF">2023-04-02T15:56:00Z</dcterms:modified>
</cp:coreProperties>
</file>